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884DFC" w:rsidP="00625536">
            <w:pPr>
              <w:spacing w:before="80" w:after="80"/>
              <w:rPr>
                <w:rFonts w:ascii="Georgia" w:hAnsi="Georgia"/>
                <w:sz w:val="20"/>
                <w:szCs w:val="20"/>
                <w:lang w:eastAsia="en-NZ"/>
              </w:rPr>
            </w:pPr>
            <w:r>
              <w:rPr>
                <w:rFonts w:ascii="Georgia" w:hAnsi="Georgia"/>
                <w:sz w:val="20"/>
                <w:szCs w:val="20"/>
                <w:lang w:eastAsia="en-NZ"/>
              </w:rPr>
              <w:t>IDEA Services</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625536" w:rsidP="00F4793D">
            <w:pPr>
              <w:spacing w:before="80" w:after="80"/>
              <w:rPr>
                <w:rFonts w:ascii="Georgia" w:hAnsi="Georgia"/>
                <w:sz w:val="20"/>
                <w:szCs w:val="20"/>
                <w:lang w:eastAsia="en-NZ"/>
              </w:rPr>
            </w:pPr>
            <w:r>
              <w:rPr>
                <w:rFonts w:ascii="Georgia" w:hAnsi="Georgia"/>
                <w:sz w:val="20"/>
                <w:szCs w:val="20"/>
                <w:lang w:eastAsia="en-NZ"/>
              </w:rPr>
              <w:t>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625536" w:rsidP="00F4793D">
            <w:pPr>
              <w:spacing w:before="80" w:after="80"/>
              <w:rPr>
                <w:rFonts w:ascii="Georgia" w:hAnsi="Georgia"/>
                <w:sz w:val="22"/>
                <w:lang w:eastAsia="en-NZ"/>
              </w:rPr>
            </w:pPr>
            <w:r>
              <w:rPr>
                <w:rFonts w:ascii="Georgia" w:hAnsi="Georgia"/>
                <w:sz w:val="22"/>
                <w:lang w:eastAsia="en-NZ"/>
              </w:rPr>
              <w:t>22-24 February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884DFC"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2A2379" w:rsidRDefault="002A2379" w:rsidP="00625536">
            <w:pPr>
              <w:spacing w:before="120" w:after="120"/>
              <w:ind w:left="459"/>
              <w:rPr>
                <w:rFonts w:ascii="Georgia" w:hAnsi="Georgia"/>
                <w:sz w:val="22"/>
                <w:szCs w:val="22"/>
                <w:lang w:eastAsia="en-NZ"/>
              </w:rPr>
            </w:pPr>
            <w:r>
              <w:rPr>
                <w:rFonts w:ascii="Georgia" w:hAnsi="Georgia"/>
                <w:sz w:val="22"/>
                <w:szCs w:val="22"/>
                <w:lang w:eastAsia="en-NZ"/>
              </w:rPr>
              <w:t xml:space="preserve">A woman lives on a property on the outskirts of the city. She has regular </w:t>
            </w:r>
            <w:r w:rsidR="00F87BB4">
              <w:rPr>
                <w:rFonts w:ascii="Georgia" w:hAnsi="Georgia"/>
                <w:sz w:val="22"/>
                <w:szCs w:val="22"/>
                <w:lang w:eastAsia="en-NZ"/>
              </w:rPr>
              <w:t>contact with her family who report</w:t>
            </w:r>
            <w:r>
              <w:rPr>
                <w:rFonts w:ascii="Georgia" w:hAnsi="Georgia"/>
                <w:sz w:val="22"/>
                <w:szCs w:val="22"/>
                <w:lang w:eastAsia="en-NZ"/>
              </w:rPr>
              <w:t xml:space="preserve"> an increased level of satisfaction in the service their daughter receives. </w:t>
            </w:r>
          </w:p>
          <w:p w:rsidR="002A2379" w:rsidRPr="002A2379" w:rsidRDefault="00625536" w:rsidP="002A2379">
            <w:pPr>
              <w:spacing w:before="120" w:after="120"/>
              <w:ind w:left="459"/>
              <w:rPr>
                <w:rFonts w:ascii="Georgia" w:hAnsi="Georgia"/>
                <w:sz w:val="22"/>
                <w:szCs w:val="22"/>
                <w:lang w:eastAsia="en-NZ"/>
              </w:rPr>
            </w:pPr>
            <w:r w:rsidRPr="00625536">
              <w:rPr>
                <w:rFonts w:ascii="Georgia" w:hAnsi="Georgia"/>
                <w:sz w:val="22"/>
                <w:szCs w:val="22"/>
                <w:lang w:eastAsia="en-NZ"/>
              </w:rPr>
              <w:t xml:space="preserve"> </w:t>
            </w:r>
            <w:r w:rsidR="002A2379" w:rsidRPr="002A2379">
              <w:rPr>
                <w:rFonts w:ascii="Georgia" w:hAnsi="Georgia"/>
                <w:sz w:val="22"/>
                <w:szCs w:val="22"/>
                <w:lang w:eastAsia="en-NZ"/>
              </w:rPr>
              <w:t>Areas identified for recommendation include:</w:t>
            </w:r>
          </w:p>
          <w:p w:rsidR="002A2379" w:rsidRPr="002A2379" w:rsidRDefault="002A2379" w:rsidP="002A2379">
            <w:pPr>
              <w:spacing w:before="120" w:after="120"/>
              <w:ind w:left="459"/>
              <w:rPr>
                <w:rFonts w:ascii="Georgia" w:hAnsi="Georgia"/>
                <w:sz w:val="22"/>
                <w:szCs w:val="22"/>
                <w:lang w:eastAsia="en-NZ"/>
              </w:rPr>
            </w:pPr>
            <w:r w:rsidRPr="002A2379">
              <w:rPr>
                <w:rFonts w:ascii="Georgia" w:hAnsi="Georgia"/>
                <w:sz w:val="22"/>
                <w:szCs w:val="22"/>
                <w:lang w:eastAsia="en-NZ"/>
              </w:rPr>
              <w:t>•</w:t>
            </w:r>
            <w:r w:rsidRPr="002A2379">
              <w:rPr>
                <w:rFonts w:ascii="Georgia" w:hAnsi="Georgia"/>
                <w:sz w:val="22"/>
                <w:szCs w:val="22"/>
                <w:lang w:eastAsia="en-NZ"/>
              </w:rPr>
              <w:tab/>
              <w:t>a roster review so the second staff person’s hours start when the woman begins her day</w:t>
            </w:r>
          </w:p>
          <w:p w:rsidR="002A2379" w:rsidRPr="002A2379" w:rsidRDefault="002A2379" w:rsidP="002A2379">
            <w:pPr>
              <w:spacing w:before="120" w:after="120"/>
              <w:ind w:left="459"/>
              <w:rPr>
                <w:rFonts w:ascii="Georgia" w:hAnsi="Georgia"/>
                <w:sz w:val="22"/>
                <w:szCs w:val="22"/>
                <w:lang w:eastAsia="en-NZ"/>
              </w:rPr>
            </w:pPr>
            <w:r w:rsidRPr="002A2379">
              <w:rPr>
                <w:rFonts w:ascii="Georgia" w:hAnsi="Georgia"/>
                <w:sz w:val="22"/>
                <w:szCs w:val="22"/>
                <w:lang w:eastAsia="en-NZ"/>
              </w:rPr>
              <w:t>•</w:t>
            </w:r>
            <w:r w:rsidRPr="002A2379">
              <w:rPr>
                <w:rFonts w:ascii="Georgia" w:hAnsi="Georgia"/>
                <w:sz w:val="22"/>
                <w:szCs w:val="22"/>
                <w:lang w:eastAsia="en-NZ"/>
              </w:rPr>
              <w:tab/>
              <w:t>completion of the Informed Consent process in consultation with the family</w:t>
            </w:r>
          </w:p>
          <w:p w:rsidR="002A2379" w:rsidRPr="002A2379" w:rsidRDefault="002A2379" w:rsidP="002A2379">
            <w:pPr>
              <w:spacing w:before="120" w:after="120"/>
              <w:ind w:left="459"/>
              <w:rPr>
                <w:rFonts w:ascii="Georgia" w:hAnsi="Georgia"/>
                <w:sz w:val="22"/>
                <w:szCs w:val="22"/>
                <w:lang w:eastAsia="en-NZ"/>
              </w:rPr>
            </w:pPr>
            <w:r w:rsidRPr="002A2379">
              <w:rPr>
                <w:rFonts w:ascii="Georgia" w:hAnsi="Georgia"/>
                <w:sz w:val="22"/>
                <w:szCs w:val="22"/>
                <w:lang w:eastAsia="en-NZ"/>
              </w:rPr>
              <w:t>•</w:t>
            </w:r>
            <w:r w:rsidRPr="002A2379">
              <w:rPr>
                <w:rFonts w:ascii="Georgia" w:hAnsi="Georgia"/>
                <w:sz w:val="22"/>
                <w:szCs w:val="22"/>
                <w:lang w:eastAsia="en-NZ"/>
              </w:rPr>
              <w:tab/>
              <w:t xml:space="preserve">schedule a review with the </w:t>
            </w:r>
            <w:r w:rsidR="00F87BB4">
              <w:rPr>
                <w:rFonts w:ascii="Georgia" w:hAnsi="Georgia"/>
                <w:sz w:val="22"/>
                <w:szCs w:val="22"/>
                <w:lang w:eastAsia="en-NZ"/>
              </w:rPr>
              <w:t>specialised clinic</w:t>
            </w:r>
            <w:r w:rsidRPr="002A2379">
              <w:rPr>
                <w:rFonts w:ascii="Georgia" w:hAnsi="Georgia"/>
                <w:sz w:val="22"/>
                <w:szCs w:val="22"/>
                <w:lang w:eastAsia="en-NZ"/>
              </w:rPr>
              <w:t xml:space="preserve"> regarding changes in the woman’s needs and the impact this is having on community activities.</w:t>
            </w:r>
          </w:p>
          <w:p w:rsidR="00F87BB4" w:rsidRDefault="00F87BB4" w:rsidP="002A2379">
            <w:pPr>
              <w:spacing w:before="120" w:after="120"/>
              <w:ind w:left="459"/>
              <w:rPr>
                <w:rFonts w:ascii="Georgia" w:hAnsi="Georgia"/>
                <w:sz w:val="22"/>
                <w:szCs w:val="22"/>
                <w:lang w:eastAsia="en-NZ"/>
              </w:rPr>
            </w:pPr>
          </w:p>
          <w:p w:rsidR="00625536" w:rsidRPr="00F4793D" w:rsidRDefault="002A2379" w:rsidP="002A2379">
            <w:pPr>
              <w:spacing w:before="120" w:after="120"/>
              <w:ind w:left="459"/>
              <w:rPr>
                <w:rFonts w:ascii="Georgia" w:hAnsi="Georgia"/>
                <w:sz w:val="22"/>
                <w:szCs w:val="22"/>
                <w:lang w:eastAsia="en-NZ"/>
              </w:rPr>
            </w:pPr>
            <w:r w:rsidRPr="002A2379">
              <w:rPr>
                <w:rFonts w:ascii="Georgia" w:hAnsi="Georgia"/>
                <w:sz w:val="22"/>
                <w:szCs w:val="22"/>
                <w:lang w:eastAsia="en-NZ"/>
              </w:rPr>
              <w:t>The staff commented they are well supported by the Service Manager.</w:t>
            </w:r>
            <w:r>
              <w:t xml:space="preserve"> </w:t>
            </w:r>
            <w:r w:rsidRPr="002A2379">
              <w:rPr>
                <w:rFonts w:ascii="Georgia" w:hAnsi="Georgia"/>
                <w:sz w:val="22"/>
                <w:szCs w:val="22"/>
                <w:lang w:eastAsia="en-NZ"/>
              </w:rPr>
              <w:t xml:space="preserve">The IDEA Services owned property is also home to a man </w:t>
            </w:r>
            <w:r>
              <w:rPr>
                <w:rFonts w:ascii="Georgia" w:hAnsi="Georgia"/>
                <w:sz w:val="22"/>
                <w:szCs w:val="22"/>
                <w:lang w:eastAsia="en-NZ"/>
              </w:rPr>
              <w:t>who lives in a separate cottage</w:t>
            </w:r>
            <w:r w:rsidR="00F87BB4">
              <w:rPr>
                <w:rFonts w:ascii="Georgia" w:hAnsi="Georgia"/>
                <w:sz w:val="22"/>
                <w:szCs w:val="22"/>
                <w:lang w:eastAsia="en-NZ"/>
              </w:rPr>
              <w:t>, and</w:t>
            </w:r>
            <w:r w:rsidRPr="002A2379">
              <w:rPr>
                <w:rFonts w:ascii="Georgia" w:hAnsi="Georgia"/>
                <w:sz w:val="22"/>
                <w:szCs w:val="22"/>
                <w:lang w:eastAsia="en-NZ"/>
              </w:rPr>
              <w:t xml:space="preserve"> a day vocational service which up to 20 people attend during the week.</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Default="00884DFC" w:rsidP="00F4793D">
            <w:pPr>
              <w:spacing w:before="120" w:after="120"/>
              <w:rPr>
                <w:rFonts w:ascii="Georgia" w:hAnsi="Georgia"/>
                <w:b/>
                <w:sz w:val="22"/>
                <w:szCs w:val="22"/>
                <w:lang w:eastAsia="en-NZ"/>
              </w:rPr>
            </w:pPr>
            <w:r w:rsidRPr="00884DFC">
              <w:rPr>
                <w:rFonts w:ascii="Georgia" w:hAnsi="Georgia"/>
                <w:b/>
                <w:sz w:val="22"/>
                <w:szCs w:val="22"/>
                <w:lang w:eastAsia="en-NZ"/>
              </w:rPr>
              <w:t>IDENTITY</w:t>
            </w:r>
          </w:p>
          <w:p w:rsidR="00602370" w:rsidRDefault="00602370" w:rsidP="00884DFC">
            <w:pPr>
              <w:spacing w:before="120" w:after="120"/>
              <w:rPr>
                <w:rFonts w:ascii="Georgia" w:hAnsi="Georgia"/>
                <w:sz w:val="22"/>
                <w:szCs w:val="22"/>
                <w:lang w:eastAsia="en-NZ"/>
              </w:rPr>
            </w:pPr>
            <w:r w:rsidRPr="00602370">
              <w:rPr>
                <w:rFonts w:ascii="Georgia" w:hAnsi="Georgia"/>
                <w:sz w:val="22"/>
                <w:szCs w:val="22"/>
                <w:lang w:eastAsia="en-NZ"/>
              </w:rPr>
              <w:t xml:space="preserve">A current Personal Plan was sighted; we were advised the goals have been kept broad and the steps are designed to be flexible to meet the woman’s preferences. </w:t>
            </w:r>
          </w:p>
          <w:p w:rsidR="00602370" w:rsidRDefault="00C456F9" w:rsidP="00884DFC">
            <w:pPr>
              <w:spacing w:before="120" w:after="120"/>
              <w:rPr>
                <w:rFonts w:ascii="Georgia" w:hAnsi="Georgia"/>
                <w:sz w:val="22"/>
                <w:szCs w:val="22"/>
                <w:lang w:eastAsia="en-NZ"/>
              </w:rPr>
            </w:pPr>
            <w:r w:rsidRPr="00C456F9">
              <w:rPr>
                <w:rFonts w:ascii="Georgia" w:hAnsi="Georgia"/>
                <w:sz w:val="22"/>
                <w:szCs w:val="22"/>
                <w:lang w:eastAsia="en-NZ"/>
              </w:rPr>
              <w:t xml:space="preserve">The house is sparsely decorated and she enjoys a minimalistic environment. She also enjoys her large garden and has a vehicle so she can access her community.  </w:t>
            </w:r>
          </w:p>
          <w:p w:rsidR="00C456F9" w:rsidRDefault="00C456F9" w:rsidP="00884DFC">
            <w:pPr>
              <w:spacing w:before="120" w:after="120"/>
              <w:rPr>
                <w:rFonts w:ascii="Georgia" w:hAnsi="Georgia"/>
                <w:sz w:val="22"/>
                <w:szCs w:val="22"/>
                <w:lang w:eastAsia="en-NZ"/>
              </w:rPr>
            </w:pPr>
            <w:r w:rsidRPr="00C456F9">
              <w:rPr>
                <w:rFonts w:ascii="Georgia" w:hAnsi="Georgia"/>
                <w:sz w:val="22"/>
                <w:szCs w:val="22"/>
                <w:lang w:eastAsia="en-NZ"/>
              </w:rPr>
              <w:t>The parent interviewed has appreciated opportunities to assist in the staff selection of those who work in her daughter’s home. The changes made in the home over the last 12 months have been well received by the family. They described the staff team as skilled, consistent in the support strategies they use and improved communication with the Service Manager.</w:t>
            </w:r>
          </w:p>
          <w:p w:rsidR="00884DFC" w:rsidRDefault="00884DFC" w:rsidP="00884DFC">
            <w:pPr>
              <w:spacing w:before="120" w:after="120"/>
              <w:rPr>
                <w:rFonts w:ascii="Georgia" w:hAnsi="Georgia"/>
                <w:b/>
                <w:sz w:val="22"/>
                <w:szCs w:val="22"/>
                <w:lang w:eastAsia="en-NZ"/>
              </w:rPr>
            </w:pPr>
            <w:r w:rsidRPr="00884DFC">
              <w:rPr>
                <w:rFonts w:ascii="Georgia" w:hAnsi="Georgia"/>
                <w:b/>
                <w:sz w:val="22"/>
                <w:szCs w:val="22"/>
                <w:lang w:eastAsia="en-NZ"/>
              </w:rPr>
              <w:t>AUTONOMY</w:t>
            </w:r>
          </w:p>
          <w:p w:rsidR="00C456F9" w:rsidRDefault="00C456F9" w:rsidP="00884DFC">
            <w:pPr>
              <w:spacing w:before="120" w:after="120"/>
              <w:rPr>
                <w:rFonts w:ascii="Georgia" w:hAnsi="Georgia"/>
                <w:sz w:val="22"/>
                <w:szCs w:val="22"/>
                <w:lang w:eastAsia="en-NZ"/>
              </w:rPr>
            </w:pPr>
            <w:r w:rsidRPr="00C456F9">
              <w:rPr>
                <w:rFonts w:ascii="Georgia" w:hAnsi="Georgia"/>
                <w:sz w:val="22"/>
                <w:szCs w:val="22"/>
                <w:lang w:eastAsia="en-NZ"/>
              </w:rPr>
              <w:t>The interviews with the staff show they have a commitment to the woman they support. Some of those interviewed spoke of promoting independence and choice.</w:t>
            </w:r>
          </w:p>
          <w:p w:rsidR="00C456F9" w:rsidRDefault="00C456F9" w:rsidP="00884DFC">
            <w:pPr>
              <w:spacing w:before="120" w:after="120"/>
              <w:rPr>
                <w:rFonts w:ascii="Georgia" w:hAnsi="Georgia"/>
                <w:sz w:val="22"/>
                <w:szCs w:val="22"/>
                <w:lang w:eastAsia="en-NZ"/>
              </w:rPr>
            </w:pPr>
            <w:r w:rsidRPr="00C456F9">
              <w:rPr>
                <w:rFonts w:ascii="Georgia" w:hAnsi="Georgia"/>
                <w:sz w:val="22"/>
                <w:szCs w:val="22"/>
                <w:lang w:eastAsia="en-NZ"/>
              </w:rPr>
              <w:t>No relief staff who are not known to the woman or have yet to complete an orientation will be rostered in the home.</w:t>
            </w:r>
            <w:r>
              <w:rPr>
                <w:rFonts w:ascii="Georgia" w:hAnsi="Georgia"/>
                <w:sz w:val="22"/>
                <w:szCs w:val="22"/>
                <w:lang w:eastAsia="en-NZ"/>
              </w:rPr>
              <w:t xml:space="preserve"> </w:t>
            </w:r>
            <w:r w:rsidRPr="00C456F9">
              <w:rPr>
                <w:rFonts w:ascii="Georgia" w:hAnsi="Georgia"/>
                <w:sz w:val="22"/>
                <w:szCs w:val="22"/>
                <w:lang w:eastAsia="en-NZ"/>
              </w:rPr>
              <w:t>A large number of approved environmental restraints are in place to ensure both the safety of the woman and the staff.</w:t>
            </w:r>
          </w:p>
          <w:p w:rsidR="00C456F9" w:rsidRDefault="00C456F9" w:rsidP="00884DFC">
            <w:pPr>
              <w:spacing w:before="120" w:after="120"/>
              <w:rPr>
                <w:rFonts w:ascii="Georgia" w:hAnsi="Georgia"/>
                <w:sz w:val="22"/>
                <w:szCs w:val="22"/>
                <w:lang w:eastAsia="en-NZ"/>
              </w:rPr>
            </w:pPr>
            <w:r w:rsidRPr="00C456F9">
              <w:rPr>
                <w:rFonts w:ascii="Georgia" w:hAnsi="Georgia"/>
                <w:sz w:val="22"/>
                <w:szCs w:val="22"/>
                <w:lang w:eastAsia="en-NZ"/>
              </w:rPr>
              <w:t>The staff are keen for the woman to increase her community activities. The Evaluation Team sighted a written schedule and was told about daily activities that vary depending on the woman’s health. Thoughtful and clear planning, including exit strategies, were evident in the plans we sighted.</w:t>
            </w:r>
          </w:p>
          <w:p w:rsidR="00884DFC" w:rsidRDefault="00884DFC" w:rsidP="00884DFC">
            <w:pPr>
              <w:spacing w:before="120" w:after="120"/>
              <w:rPr>
                <w:rFonts w:ascii="Georgia" w:hAnsi="Georgia"/>
                <w:b/>
                <w:sz w:val="22"/>
                <w:szCs w:val="22"/>
                <w:lang w:eastAsia="en-NZ"/>
              </w:rPr>
            </w:pPr>
            <w:r w:rsidRPr="00884DFC">
              <w:rPr>
                <w:rFonts w:ascii="Georgia" w:hAnsi="Georgia"/>
                <w:b/>
                <w:sz w:val="22"/>
                <w:szCs w:val="22"/>
                <w:lang w:eastAsia="en-NZ"/>
              </w:rPr>
              <w:t>AFFILIATION</w:t>
            </w:r>
          </w:p>
          <w:p w:rsidR="007B08A8" w:rsidRDefault="007B08A8" w:rsidP="00884DFC">
            <w:pPr>
              <w:spacing w:before="120" w:after="120"/>
              <w:rPr>
                <w:rFonts w:ascii="Georgia" w:hAnsi="Georgia"/>
                <w:sz w:val="22"/>
                <w:szCs w:val="22"/>
                <w:lang w:eastAsia="en-NZ"/>
              </w:rPr>
            </w:pPr>
            <w:r w:rsidRPr="007B08A8">
              <w:rPr>
                <w:rFonts w:ascii="Georgia" w:hAnsi="Georgia"/>
                <w:sz w:val="22"/>
                <w:szCs w:val="22"/>
                <w:lang w:eastAsia="en-NZ"/>
              </w:rPr>
              <w:t>The service plans and manages community outings.</w:t>
            </w:r>
            <w:r>
              <w:rPr>
                <w:rFonts w:ascii="Georgia" w:hAnsi="Georgia"/>
                <w:sz w:val="22"/>
                <w:szCs w:val="22"/>
                <w:lang w:eastAsia="en-NZ"/>
              </w:rPr>
              <w:t xml:space="preserve"> </w:t>
            </w:r>
            <w:r w:rsidRPr="007B08A8">
              <w:rPr>
                <w:rFonts w:ascii="Georgia" w:hAnsi="Georgia"/>
                <w:sz w:val="22"/>
                <w:szCs w:val="22"/>
                <w:lang w:eastAsia="en-NZ"/>
              </w:rPr>
              <w:t xml:space="preserve">Community participation is appreciated and understood by the staff. Those interviewed from the team are keen to expand the woman’s experiences </w:t>
            </w:r>
            <w:r w:rsidRPr="007B08A8">
              <w:rPr>
                <w:rFonts w:ascii="Georgia" w:hAnsi="Georgia"/>
                <w:sz w:val="22"/>
                <w:szCs w:val="22"/>
                <w:lang w:eastAsia="en-NZ"/>
              </w:rPr>
              <w:lastRenderedPageBreak/>
              <w:t>in a safe manner and are mindful of her extreme anxiety in unfamiliar spaces.</w:t>
            </w:r>
          </w:p>
          <w:p w:rsidR="00884DFC" w:rsidRDefault="00884DFC" w:rsidP="00884DFC">
            <w:pPr>
              <w:spacing w:before="120" w:after="120"/>
              <w:rPr>
                <w:rFonts w:ascii="Georgia" w:hAnsi="Georgia"/>
                <w:b/>
                <w:sz w:val="22"/>
                <w:szCs w:val="22"/>
                <w:lang w:eastAsia="en-NZ"/>
              </w:rPr>
            </w:pPr>
            <w:r w:rsidRPr="00884DFC">
              <w:rPr>
                <w:rFonts w:ascii="Georgia" w:hAnsi="Georgia"/>
                <w:b/>
                <w:sz w:val="22"/>
                <w:szCs w:val="22"/>
                <w:lang w:eastAsia="en-NZ"/>
              </w:rPr>
              <w:t>SAFEGUARDS</w:t>
            </w:r>
          </w:p>
          <w:p w:rsidR="007B08A8" w:rsidRDefault="007B08A8" w:rsidP="009D4B05">
            <w:pPr>
              <w:spacing w:before="120" w:after="120"/>
              <w:rPr>
                <w:rFonts w:ascii="Georgia" w:hAnsi="Georgia"/>
                <w:sz w:val="22"/>
                <w:szCs w:val="22"/>
                <w:lang w:eastAsia="en-NZ"/>
              </w:rPr>
            </w:pPr>
            <w:r w:rsidRPr="007B08A8">
              <w:rPr>
                <w:rFonts w:ascii="Georgia" w:hAnsi="Georgia"/>
                <w:sz w:val="22"/>
                <w:szCs w:val="22"/>
                <w:lang w:eastAsia="en-NZ"/>
              </w:rPr>
              <w:t xml:space="preserve">The staff and the Service Manager acknowledged the role of the family in the woman’s life; they support regular visits. </w:t>
            </w:r>
          </w:p>
          <w:p w:rsidR="007B08A8" w:rsidRDefault="007B08A8" w:rsidP="009D4B05">
            <w:pPr>
              <w:spacing w:before="120" w:after="120"/>
              <w:rPr>
                <w:rFonts w:ascii="Georgia" w:hAnsi="Georgia"/>
                <w:sz w:val="22"/>
                <w:szCs w:val="22"/>
                <w:lang w:eastAsia="en-NZ"/>
              </w:rPr>
            </w:pPr>
            <w:r w:rsidRPr="007B08A8">
              <w:rPr>
                <w:rFonts w:ascii="Georgia" w:hAnsi="Georgia"/>
                <w:sz w:val="22"/>
                <w:szCs w:val="22"/>
                <w:lang w:eastAsia="en-NZ"/>
              </w:rPr>
              <w:t>Comprehensive and detailed Risk Management Plans and Protocols are in place. There is a concise protocol for staff withdrawing to safe zones in the home when required.</w:t>
            </w:r>
          </w:p>
          <w:p w:rsidR="009D4B05" w:rsidRPr="009D4B05" w:rsidRDefault="009D4B05" w:rsidP="009D4B05">
            <w:pPr>
              <w:spacing w:before="120" w:after="120"/>
              <w:rPr>
                <w:rFonts w:ascii="Georgia" w:hAnsi="Georgia"/>
                <w:b/>
                <w:sz w:val="22"/>
                <w:szCs w:val="22"/>
                <w:lang w:eastAsia="en-NZ"/>
              </w:rPr>
            </w:pPr>
            <w:r w:rsidRPr="009D4B05">
              <w:rPr>
                <w:rFonts w:ascii="Georgia" w:hAnsi="Georgia"/>
                <w:b/>
                <w:sz w:val="22"/>
                <w:szCs w:val="22"/>
                <w:lang w:eastAsia="en-NZ"/>
              </w:rPr>
              <w:t>RIGHTS</w:t>
            </w:r>
          </w:p>
          <w:p w:rsidR="007B08A8" w:rsidRDefault="007B08A8" w:rsidP="009D4B05">
            <w:pPr>
              <w:spacing w:before="120" w:after="120"/>
              <w:rPr>
                <w:rFonts w:ascii="Georgia" w:hAnsi="Georgia"/>
                <w:sz w:val="22"/>
                <w:szCs w:val="22"/>
                <w:lang w:eastAsia="en-NZ"/>
              </w:rPr>
            </w:pPr>
            <w:r w:rsidRPr="007B08A8">
              <w:rPr>
                <w:rFonts w:ascii="Georgia" w:hAnsi="Georgia"/>
                <w:sz w:val="22"/>
                <w:szCs w:val="22"/>
                <w:lang w:eastAsia="en-NZ"/>
              </w:rPr>
              <w:t>The staff are mindful of providing opportunities for the woman to make choices and to be a decision maker in her own life.</w:t>
            </w:r>
          </w:p>
          <w:p w:rsidR="007B08A8" w:rsidRDefault="007B08A8" w:rsidP="009D4B05">
            <w:pPr>
              <w:spacing w:before="120" w:after="120"/>
              <w:rPr>
                <w:rFonts w:ascii="Georgia" w:hAnsi="Georgia"/>
                <w:sz w:val="22"/>
                <w:szCs w:val="22"/>
                <w:lang w:eastAsia="en-NZ"/>
              </w:rPr>
            </w:pPr>
            <w:r w:rsidRPr="007B08A8">
              <w:rPr>
                <w:rFonts w:ascii="Georgia" w:hAnsi="Georgia"/>
                <w:sz w:val="22"/>
                <w:szCs w:val="22"/>
                <w:lang w:eastAsia="en-NZ"/>
              </w:rPr>
              <w:t>A positive approach to support strategies was outlined. There is a consistent approach by the staff; they are aware of the woman’s preferences and are supporting her to extend her independence at home.</w:t>
            </w:r>
          </w:p>
          <w:p w:rsidR="009D4B05" w:rsidRPr="009D4B05" w:rsidRDefault="009D4B05" w:rsidP="009D4B05">
            <w:pPr>
              <w:spacing w:before="120" w:after="120"/>
              <w:rPr>
                <w:rFonts w:ascii="Georgia" w:hAnsi="Georgia"/>
                <w:b/>
                <w:sz w:val="22"/>
                <w:szCs w:val="22"/>
                <w:lang w:eastAsia="en-NZ"/>
              </w:rPr>
            </w:pPr>
            <w:r w:rsidRPr="009D4B05">
              <w:rPr>
                <w:rFonts w:ascii="Georgia" w:hAnsi="Georgia"/>
                <w:b/>
                <w:sz w:val="22"/>
                <w:szCs w:val="22"/>
                <w:lang w:eastAsia="en-NZ"/>
              </w:rPr>
              <w:t>HEALTH AND WELLNESS</w:t>
            </w:r>
          </w:p>
          <w:p w:rsidR="009D4B05" w:rsidRPr="00884DFC" w:rsidRDefault="007B08A8" w:rsidP="00496E32">
            <w:pPr>
              <w:spacing w:before="120" w:after="120"/>
              <w:rPr>
                <w:rFonts w:ascii="Georgia" w:hAnsi="Georgia"/>
                <w:sz w:val="22"/>
                <w:szCs w:val="22"/>
                <w:lang w:eastAsia="en-NZ"/>
              </w:rPr>
            </w:pPr>
            <w:r w:rsidRPr="007B08A8">
              <w:rPr>
                <w:rFonts w:ascii="Georgia" w:hAnsi="Georgia"/>
                <w:sz w:val="22"/>
                <w:szCs w:val="22"/>
                <w:lang w:eastAsia="en-NZ"/>
              </w:rPr>
              <w:t>The woman has access to specialist medical services including ophthalmologists and dentists as required.</w:t>
            </w:r>
            <w:r>
              <w:rPr>
                <w:rFonts w:ascii="Georgia" w:hAnsi="Georgia"/>
                <w:sz w:val="22"/>
                <w:szCs w:val="22"/>
                <w:lang w:eastAsia="en-NZ"/>
              </w:rPr>
              <w:t xml:space="preserve"> Hospital appointments are co-ordinated to minimise additional intrusion in the woman’s life. </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496E32" w:rsidRPr="00496E32" w:rsidRDefault="00496E32" w:rsidP="00C24A80">
      <w:pPr>
        <w:rPr>
          <w:rFonts w:ascii="Georgia" w:hAnsi="Georgia"/>
          <w:sz w:val="22"/>
          <w:szCs w:val="22"/>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7B08A8" w:rsidRPr="007B08A8" w:rsidRDefault="007B08A8" w:rsidP="007B08A8">
            <w:pPr>
              <w:pStyle w:val="Header"/>
              <w:spacing w:before="120" w:after="120"/>
              <w:rPr>
                <w:rFonts w:ascii="Georgia" w:hAnsi="Georgia"/>
                <w:sz w:val="22"/>
                <w:szCs w:val="22"/>
                <w:lang w:eastAsia="en-NZ"/>
              </w:rPr>
            </w:pPr>
            <w:r w:rsidRPr="007B08A8">
              <w:rPr>
                <w:rFonts w:ascii="Georgia" w:hAnsi="Georgia"/>
                <w:sz w:val="22"/>
                <w:szCs w:val="22"/>
                <w:lang w:eastAsia="en-NZ"/>
              </w:rPr>
              <w:tab/>
              <w:t xml:space="preserve">Review the current roster to ensure support hours are in place to meet the person’s needs </w:t>
            </w:r>
          </w:p>
          <w:p w:rsidR="005276B0" w:rsidRPr="005276B0" w:rsidRDefault="007B08A8" w:rsidP="007B08A8">
            <w:pPr>
              <w:pStyle w:val="Header"/>
              <w:spacing w:before="120" w:after="120"/>
              <w:jc w:val="both"/>
              <w:rPr>
                <w:rFonts w:ascii="Georgia" w:hAnsi="Georgia"/>
                <w:sz w:val="22"/>
                <w:szCs w:val="22"/>
                <w:lang w:eastAsia="en-NZ"/>
              </w:rPr>
            </w:pPr>
            <w:r w:rsidRPr="007B08A8">
              <w:rPr>
                <w:rFonts w:ascii="Georgia" w:hAnsi="Georgia"/>
                <w:sz w:val="22"/>
                <w:szCs w:val="22"/>
                <w:lang w:eastAsia="en-NZ"/>
              </w:rPr>
              <w:t>Complete the writ</w:t>
            </w:r>
            <w:r>
              <w:rPr>
                <w:rFonts w:ascii="Georgia" w:hAnsi="Georgia"/>
                <w:sz w:val="22"/>
                <w:szCs w:val="22"/>
                <w:lang w:eastAsia="en-NZ"/>
              </w:rPr>
              <w:t>ten record of Informed Consent</w:t>
            </w:r>
            <w:r w:rsidRPr="007B08A8">
              <w:rPr>
                <w:rFonts w:ascii="Georgia" w:hAnsi="Georgia"/>
                <w:sz w:val="22"/>
                <w:szCs w:val="22"/>
                <w:lang w:eastAsia="en-NZ"/>
              </w:rPr>
              <w:tab/>
            </w:r>
            <w:r w:rsidR="005276B0" w:rsidRPr="005276B0">
              <w:rPr>
                <w:rFonts w:ascii="Georgia" w:hAnsi="Georgia"/>
                <w:sz w:val="22"/>
                <w:szCs w:val="22"/>
                <w:lang w:eastAsia="en-NZ"/>
              </w:rPr>
              <w:tab/>
            </w:r>
          </w:p>
          <w:p w:rsidR="009E4785" w:rsidRPr="00F4793D" w:rsidRDefault="009E4785" w:rsidP="005276B0">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rPr>
      </w:pPr>
    </w:p>
    <w:p w:rsidR="00230A2C" w:rsidRPr="00F4793D" w:rsidRDefault="008E6F38">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257" w:rsidRDefault="00034257" w:rsidP="005F7312">
      <w:r>
        <w:separator/>
      </w:r>
    </w:p>
  </w:endnote>
  <w:endnote w:type="continuationSeparator" w:id="0">
    <w:p w:rsidR="00034257" w:rsidRDefault="00034257"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8E6F38">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8E6F38">
              <w:rPr>
                <w:rFonts w:ascii="Georgia" w:hAnsi="Georgia"/>
                <w:b/>
                <w:bCs/>
                <w:noProof/>
                <w:sz w:val="16"/>
                <w:szCs w:val="16"/>
              </w:rPr>
              <w:t>2</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257" w:rsidRDefault="00034257" w:rsidP="005F7312">
      <w:r>
        <w:separator/>
      </w:r>
    </w:p>
  </w:footnote>
  <w:footnote w:type="continuationSeparator" w:id="0">
    <w:p w:rsidR="00034257" w:rsidRDefault="00034257"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4257"/>
    <w:rsid w:val="00036D2C"/>
    <w:rsid w:val="00046BAD"/>
    <w:rsid w:val="00194E7F"/>
    <w:rsid w:val="001F1061"/>
    <w:rsid w:val="002A2379"/>
    <w:rsid w:val="00382C3B"/>
    <w:rsid w:val="00496E32"/>
    <w:rsid w:val="005276B0"/>
    <w:rsid w:val="005E2DA9"/>
    <w:rsid w:val="005F7312"/>
    <w:rsid w:val="00602370"/>
    <w:rsid w:val="00625536"/>
    <w:rsid w:val="00637F5C"/>
    <w:rsid w:val="006736D2"/>
    <w:rsid w:val="006B5B71"/>
    <w:rsid w:val="006B700B"/>
    <w:rsid w:val="006C72CC"/>
    <w:rsid w:val="007B08A8"/>
    <w:rsid w:val="00852B3B"/>
    <w:rsid w:val="00884DFC"/>
    <w:rsid w:val="008C1463"/>
    <w:rsid w:val="008E6F38"/>
    <w:rsid w:val="009D4B05"/>
    <w:rsid w:val="009E4785"/>
    <w:rsid w:val="00B2442F"/>
    <w:rsid w:val="00C0673B"/>
    <w:rsid w:val="00C24A80"/>
    <w:rsid w:val="00C456F9"/>
    <w:rsid w:val="00C918B8"/>
    <w:rsid w:val="00CF0E19"/>
    <w:rsid w:val="00D31DBD"/>
    <w:rsid w:val="00E72912"/>
    <w:rsid w:val="00F128C7"/>
    <w:rsid w:val="00F4793D"/>
    <w:rsid w:val="00F71041"/>
    <w:rsid w:val="00F87BB4"/>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7FBCD-1C11-46F0-AFBE-126737B0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4786-27A8-4572-97FA-13EED5BC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9B55DB</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2017-03-22T23:04:00Z</dcterms:created>
  <dcterms:modified xsi:type="dcterms:W3CDTF">2017-03-22T23:04:00Z</dcterms:modified>
</cp:coreProperties>
</file>