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02842" w14:textId="3C07C6E3" w:rsidR="00F829F6" w:rsidRPr="007F3204" w:rsidRDefault="008D5927" w:rsidP="00F113EF">
      <w:pPr>
        <w:rPr>
          <w:b/>
          <w:bCs/>
          <w:sz w:val="22"/>
        </w:rPr>
      </w:pPr>
      <w:r>
        <w:rPr>
          <w:b/>
          <w:bCs/>
          <w:sz w:val="22"/>
        </w:rPr>
        <w:t>Review Panel Terms of Reference (ToR) changes</w:t>
      </w:r>
    </w:p>
    <w:p w14:paraId="21F8CF40" w14:textId="77777777" w:rsidR="009B5D12" w:rsidRPr="00843EE6" w:rsidRDefault="009B5D12" w:rsidP="00F113EF">
      <w:pPr>
        <w:rPr>
          <w:rFonts w:eastAsiaTheme="minorHAnsi" w:cs="Calibri"/>
          <w:kern w:val="0"/>
          <w:sz w:val="22"/>
          <w:lang w:eastAsia="en-NZ"/>
          <w14:ligatures w14:val="none"/>
        </w:rPr>
      </w:pPr>
    </w:p>
    <w:p w14:paraId="761CEF9A" w14:textId="2CF8D259" w:rsidR="00AB4A28" w:rsidRDefault="00AB4A28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>In August</w:t>
      </w:r>
      <w:r w:rsidR="003F10DB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 2024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, </w:t>
      </w:r>
      <w:r w:rsidR="00D61D0C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steps 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were put in place to stabilise the </w:t>
      </w:r>
      <w:r w:rsidR="00893A64">
        <w:rPr>
          <w:rFonts w:eastAsiaTheme="minorHAnsi" w:cs="Calibri"/>
          <w:kern w:val="0"/>
          <w:sz w:val="22"/>
          <w:lang w:eastAsia="en-NZ"/>
          <w14:ligatures w14:val="none"/>
        </w:rPr>
        <w:t>D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isability </w:t>
      </w:r>
      <w:r w:rsidR="00893A64">
        <w:rPr>
          <w:rFonts w:eastAsiaTheme="minorHAnsi" w:cs="Calibri"/>
          <w:kern w:val="0"/>
          <w:sz w:val="22"/>
          <w:lang w:eastAsia="en-NZ"/>
          <w14:ligatures w14:val="none"/>
        </w:rPr>
        <w:t>S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upport </w:t>
      </w:r>
      <w:r w:rsidR="00893A64">
        <w:rPr>
          <w:rFonts w:eastAsiaTheme="minorHAnsi" w:cs="Calibri"/>
          <w:kern w:val="0"/>
          <w:sz w:val="22"/>
          <w:lang w:eastAsia="en-NZ"/>
          <w14:ligatures w14:val="none"/>
        </w:rPr>
        <w:t>S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>ystem</w:t>
      </w:r>
      <w:r w:rsidR="00ED360E">
        <w:rPr>
          <w:rFonts w:eastAsiaTheme="minorHAnsi" w:cs="Calibri"/>
          <w:kern w:val="0"/>
          <w:sz w:val="22"/>
          <w:lang w:eastAsia="en-NZ"/>
          <w14:ligatures w14:val="none"/>
        </w:rPr>
        <w:t xml:space="preserve"> (DSS)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. This was in response to an </w:t>
      </w:r>
      <w:hyperlink r:id="rId8" w:history="1">
        <w:r w:rsidR="00F2450A" w:rsidRPr="00875516">
          <w:rPr>
            <w:rStyle w:val="Hyperlink"/>
            <w:rFonts w:eastAsiaTheme="minorHAnsi" w:cs="Calibri"/>
            <w:kern w:val="0"/>
            <w:sz w:val="22"/>
            <w:lang w:eastAsia="en-NZ"/>
            <w14:ligatures w14:val="none"/>
          </w:rPr>
          <w:t>Independent Review</w:t>
        </w:r>
      </w:hyperlink>
      <w:r w:rsidR="00F2450A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03E8EA07" w14:textId="4F0F1BE7" w:rsidR="002C58A7" w:rsidRDefault="002C58A7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2D7AFA">
        <w:rPr>
          <w:rFonts w:eastAsiaTheme="minorHAnsi" w:cs="Calibri"/>
          <w:kern w:val="0"/>
          <w:sz w:val="22"/>
          <w:lang w:eastAsia="en-NZ"/>
          <w14:ligatures w14:val="none"/>
        </w:rPr>
        <w:t xml:space="preserve">NASCs and EGL sites </w:t>
      </w:r>
      <w:r w:rsidR="00123E3C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now </w:t>
      </w:r>
      <w:r w:rsidRPr="002D7AFA">
        <w:rPr>
          <w:rFonts w:eastAsiaTheme="minorHAnsi" w:cs="Calibri"/>
          <w:kern w:val="0"/>
          <w:sz w:val="22"/>
          <w:lang w:eastAsia="en-NZ"/>
          <w14:ligatures w14:val="none"/>
        </w:rPr>
        <w:t xml:space="preserve">work within budgets, which </w:t>
      </w:r>
      <w:r w:rsidRPr="007F3204">
        <w:rPr>
          <w:rFonts w:eastAsiaTheme="minorHAnsi" w:cs="Calibri"/>
          <w:kern w:val="0"/>
          <w:sz w:val="22"/>
          <w:lang w:eastAsia="en-NZ"/>
          <w14:ligatures w14:val="none"/>
        </w:rPr>
        <w:t>are</w:t>
      </w:r>
      <w:r w:rsidR="002D7AFA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 greater than their spending in the last financial year. The residential component of their budgets is larger than</w:t>
      </w:r>
      <w:r w:rsidR="005532C4">
        <w:rPr>
          <w:rFonts w:eastAsiaTheme="minorHAnsi" w:cs="Calibri"/>
          <w:kern w:val="0"/>
          <w:sz w:val="22"/>
          <w:lang w:eastAsia="en-NZ"/>
          <w14:ligatures w14:val="none"/>
        </w:rPr>
        <w:t xml:space="preserve"> their spend on </w:t>
      </w:r>
      <w:r w:rsidR="002D7AFA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residential care </w:t>
      </w:r>
      <w:r w:rsidR="005532C4">
        <w:rPr>
          <w:rFonts w:eastAsiaTheme="minorHAnsi" w:cs="Calibri"/>
          <w:kern w:val="0"/>
          <w:sz w:val="22"/>
          <w:lang w:eastAsia="en-NZ"/>
          <w14:ligatures w14:val="none"/>
        </w:rPr>
        <w:t>last year</w:t>
      </w:r>
      <w:r w:rsidR="002D7AFA" w:rsidRPr="007F3204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  <w:r w:rsidRPr="002D7AFA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</w:p>
    <w:p w14:paraId="6624028D" w14:textId="015E3A86" w:rsidR="00195018" w:rsidRDefault="00195018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9E1FEE">
        <w:rPr>
          <w:rFonts w:eastAsiaTheme="minorHAnsi" w:cs="Calibri"/>
          <w:kern w:val="0"/>
          <w:sz w:val="22"/>
          <w:lang w:eastAsia="en-NZ"/>
          <w14:ligatures w14:val="none"/>
        </w:rPr>
        <w:t>We</w:t>
      </w:r>
      <w:r w:rsidR="00E3627B"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 continue to work closely with NASCs and EGL sites to help them manage </w:t>
      </w:r>
      <w:r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the </w:t>
      </w:r>
      <w:r w:rsidR="00E3627B"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opportunities and challenges </w:t>
      </w:r>
      <w:r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of managing </w:t>
      </w:r>
      <w:r w:rsidR="00E3627B"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budgets. The </w:t>
      </w:r>
      <w:r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Review Panel Terms of Reference (ToR) </w:t>
      </w:r>
      <w:r w:rsidR="00E3627B" w:rsidRPr="009E1FEE">
        <w:rPr>
          <w:rFonts w:eastAsiaTheme="minorHAnsi" w:cs="Calibri"/>
          <w:kern w:val="0"/>
          <w:sz w:val="22"/>
          <w:lang w:eastAsia="en-NZ"/>
          <w14:ligatures w14:val="none"/>
        </w:rPr>
        <w:t xml:space="preserve">changes </w:t>
      </w:r>
      <w:r w:rsidRPr="009E1FEE">
        <w:rPr>
          <w:rFonts w:eastAsiaTheme="minorHAnsi" w:cs="Calibri"/>
          <w:kern w:val="0"/>
          <w:sz w:val="22"/>
          <w:lang w:eastAsia="en-NZ"/>
          <w14:ligatures w14:val="none"/>
        </w:rPr>
        <w:t>are a result of feedback from NASCs and EGL sites.</w:t>
      </w:r>
    </w:p>
    <w:p w14:paraId="26AD4CC1" w14:textId="7DC5E53C" w:rsidR="00ED360E" w:rsidRPr="007F3204" w:rsidRDefault="00ED360E" w:rsidP="00315834">
      <w:pPr>
        <w:pStyle w:val="xmsonormal"/>
        <w:spacing w:after="120" w:line="312" w:lineRule="auto"/>
        <w:rPr>
          <w:rFonts w:ascii="Verdana" w:hAnsi="Verdana" w:cstheme="minorHAnsi"/>
          <w:b/>
          <w:bCs/>
          <w:sz w:val="22"/>
          <w:szCs w:val="22"/>
        </w:rPr>
      </w:pPr>
      <w:r>
        <w:rPr>
          <w:rFonts w:ascii="Verdana" w:hAnsi="Verdana" w:cstheme="minorHAnsi"/>
          <w:b/>
          <w:bCs/>
          <w:sz w:val="22"/>
          <w:szCs w:val="22"/>
        </w:rPr>
        <w:t>What has changed?</w:t>
      </w:r>
    </w:p>
    <w:p w14:paraId="7062DFE0" w14:textId="3D9697D3" w:rsidR="0052379C" w:rsidRPr="00315834" w:rsidRDefault="0052379C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DSS has updated the Review Panel’s ToR.</w:t>
      </w:r>
    </w:p>
    <w:p w14:paraId="10AAB8EA" w14:textId="7305270F" w:rsidR="000C0346" w:rsidRPr="00315834" w:rsidRDefault="00D36063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The most significant change will give </w:t>
      </w:r>
      <w:r w:rsidR="000C034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NASCs and EGL sites </w:t>
      </w:r>
      <w:r w:rsidR="003F4F19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the ability to manage cases where there is a potential for a high risk of harm if a </w:t>
      </w:r>
      <w:r w:rsidR="000C0346" w:rsidRPr="00315834">
        <w:rPr>
          <w:rFonts w:eastAsiaTheme="minorHAnsi" w:cs="Calibri"/>
          <w:kern w:val="0"/>
          <w:sz w:val="22"/>
          <w:lang w:eastAsia="en-NZ"/>
          <w14:ligatures w14:val="none"/>
        </w:rPr>
        <w:t>disabled pe</w:t>
      </w:r>
      <w:r w:rsidR="00CC02E4" w:rsidRPr="00315834">
        <w:rPr>
          <w:rFonts w:eastAsiaTheme="minorHAnsi" w:cs="Calibri"/>
          <w:kern w:val="0"/>
          <w:sz w:val="22"/>
          <w:lang w:eastAsia="en-NZ"/>
          <w14:ligatures w14:val="none"/>
        </w:rPr>
        <w:t>rson</w:t>
      </w:r>
      <w:r w:rsidR="000C034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  <w:r w:rsidR="003F4F19" w:rsidRPr="00315834">
        <w:rPr>
          <w:rFonts w:eastAsiaTheme="minorHAnsi" w:cs="Calibri"/>
          <w:kern w:val="0"/>
          <w:sz w:val="22"/>
          <w:lang w:eastAsia="en-NZ"/>
          <w14:ligatures w14:val="none"/>
        </w:rPr>
        <w:t>is unable</w:t>
      </w:r>
      <w:r w:rsidR="000C034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to enter residential care.</w:t>
      </w:r>
    </w:p>
    <w:p w14:paraId="5EF0C2D7" w14:textId="1815E9B5" w:rsidR="00AB4A28" w:rsidRPr="00315834" w:rsidRDefault="000C0346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This means the Review Panel can consider </w:t>
      </w:r>
      <w:r w:rsidR="00893A64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specific </w:t>
      </w:r>
      <w:r w:rsidR="00D61D0C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high priority cases even when </w:t>
      </w:r>
      <w:r w:rsidR="00D46B5E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NASCs and EGL sites </w:t>
      </w:r>
      <w:r w:rsidR="003F10DB" w:rsidRPr="00315834">
        <w:rPr>
          <w:rFonts w:eastAsiaTheme="minorHAnsi" w:cs="Calibri"/>
          <w:kern w:val="0"/>
          <w:sz w:val="22"/>
          <w:lang w:eastAsia="en-NZ"/>
          <w14:ligatures w14:val="none"/>
        </w:rPr>
        <w:t>cannot</w:t>
      </w:r>
      <w:r w:rsidR="00D46B5E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offer assurance </w:t>
      </w:r>
      <w:r w:rsidR="003F4F19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that there is availability </w:t>
      </w:r>
      <w:r w:rsidR="00D46B5E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within their immediate residential budgets. </w:t>
      </w:r>
    </w:p>
    <w:p w14:paraId="32FC2856" w14:textId="09605306" w:rsidR="00AB4A28" w:rsidRPr="00315834" w:rsidRDefault="003F10DB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NASC and EGL sites will not need to</w:t>
      </w:r>
      <w:r w:rsidR="00624F0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confirm they have budget </w:t>
      </w:r>
      <w:r w:rsidR="007434E1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immediately </w:t>
      </w:r>
      <w:r w:rsidR="00624F06" w:rsidRPr="00315834">
        <w:rPr>
          <w:rFonts w:eastAsiaTheme="minorHAnsi" w:cs="Calibri"/>
          <w:kern w:val="0"/>
          <w:sz w:val="22"/>
          <w:lang w:eastAsia="en-NZ"/>
          <w14:ligatures w14:val="none"/>
        </w:rPr>
        <w:t>available</w:t>
      </w:r>
      <w:r w:rsidR="00D21FC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  <w:r w:rsidR="00624F0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for the Review Panel to </w:t>
      </w:r>
      <w:r w:rsidR="007434E1" w:rsidRPr="00315834">
        <w:rPr>
          <w:rFonts w:eastAsiaTheme="minorHAnsi" w:cs="Calibri"/>
          <w:kern w:val="0"/>
          <w:sz w:val="22"/>
          <w:lang w:eastAsia="en-NZ"/>
          <w14:ligatures w14:val="none"/>
        </w:rPr>
        <w:t>endorse</w:t>
      </w:r>
      <w:r w:rsidR="00D21FC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  <w:r w:rsidR="00624F06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a new entry to residential care. </w:t>
      </w:r>
    </w:p>
    <w:p w14:paraId="29730105" w14:textId="689E127D" w:rsidR="007434E1" w:rsidRPr="00315834" w:rsidRDefault="007434E1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They will need to provide assurance that they will take reasonable and practical steps to return to being within budget within the financial year.</w:t>
      </w:r>
    </w:p>
    <w:p w14:paraId="479DECB7" w14:textId="2CBF4C84" w:rsidR="00AB4A28" w:rsidRPr="00315834" w:rsidRDefault="000C0346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This</w:t>
      </w:r>
      <w:r w:rsidR="00AB4A28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will ensure NASCs </w:t>
      </w:r>
      <w:r w:rsidR="00D46B5E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and EGL sites </w:t>
      </w:r>
      <w:r w:rsidR="00AB4A28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are supported to manage </w:t>
      </w:r>
      <w:r w:rsidR="00701BAB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high priority </w:t>
      </w:r>
      <w:r w:rsidR="00875516" w:rsidRPr="00315834">
        <w:rPr>
          <w:rFonts w:eastAsiaTheme="minorHAnsi" w:cs="Calibri"/>
          <w:kern w:val="0"/>
          <w:sz w:val="22"/>
          <w:lang w:eastAsia="en-NZ"/>
          <w14:ligatures w14:val="none"/>
        </w:rPr>
        <w:t>situations where there could be an identifiable health or safety concern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4BA3555C" w14:textId="1C910551" w:rsidR="00D36063" w:rsidRPr="00875516" w:rsidRDefault="00701BAB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>DSS is working closely with NASCs and EGL</w:t>
      </w:r>
      <w:r w:rsidR="00196FD3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 sites</w:t>
      </w: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  <w:r w:rsidR="00196FD3" w:rsidRPr="00875516">
        <w:rPr>
          <w:rFonts w:eastAsiaTheme="minorHAnsi" w:cs="Calibri"/>
          <w:kern w:val="0"/>
          <w:sz w:val="22"/>
          <w:lang w:eastAsia="en-NZ"/>
          <w14:ligatures w14:val="none"/>
        </w:rPr>
        <w:t>to strengthen their budget management and forecasting</w:t>
      </w:r>
      <w:r w:rsidR="00875516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 ability</w:t>
      </w:r>
      <w:r w:rsidR="00196FD3" w:rsidRPr="00875516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</w:p>
    <w:p w14:paraId="15708CE2" w14:textId="3D043BF1" w:rsidR="00624F06" w:rsidRPr="00315834" w:rsidRDefault="002C58A7" w:rsidP="00315834">
      <w:pPr>
        <w:pStyle w:val="xmsonormal"/>
        <w:spacing w:after="120" w:line="312" w:lineRule="auto"/>
        <w:rPr>
          <w:rFonts w:ascii="Verdana" w:hAnsi="Verdana" w:cstheme="minorHAnsi"/>
          <w:b/>
          <w:bCs/>
          <w:sz w:val="22"/>
          <w:szCs w:val="22"/>
        </w:rPr>
      </w:pPr>
      <w:r w:rsidRPr="00315834">
        <w:rPr>
          <w:rFonts w:ascii="Verdana" w:hAnsi="Verdana" w:cstheme="minorHAnsi"/>
          <w:b/>
          <w:bCs/>
          <w:sz w:val="22"/>
          <w:szCs w:val="22"/>
        </w:rPr>
        <w:t>Additional c</w:t>
      </w:r>
      <w:r w:rsidR="00557E15" w:rsidRPr="00315834">
        <w:rPr>
          <w:rFonts w:ascii="Verdana" w:hAnsi="Verdana" w:cstheme="minorHAnsi"/>
          <w:b/>
          <w:bCs/>
          <w:sz w:val="22"/>
          <w:szCs w:val="22"/>
        </w:rPr>
        <w:t>hanges</w:t>
      </w:r>
    </w:p>
    <w:p w14:paraId="759C96B7" w14:textId="4D5CBCE8" w:rsidR="00624F06" w:rsidRPr="007F3204" w:rsidRDefault="00ED360E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>
        <w:rPr>
          <w:rFonts w:eastAsiaTheme="minorHAnsi" w:cs="Calibri"/>
          <w:kern w:val="0"/>
          <w:sz w:val="22"/>
          <w:lang w:eastAsia="en-NZ"/>
          <w14:ligatures w14:val="none"/>
        </w:rPr>
        <w:t>R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>equir</w:t>
      </w:r>
      <w:r w:rsidR="00624F06" w:rsidRPr="007F3204">
        <w:rPr>
          <w:rFonts w:eastAsiaTheme="minorHAnsi" w:cs="Calibri"/>
          <w:kern w:val="0"/>
          <w:sz w:val="22"/>
          <w:lang w:eastAsia="en-NZ"/>
          <w14:ligatures w14:val="none"/>
        </w:rPr>
        <w:t>e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 all new residential entries to be referred to the Panel</w:t>
      </w:r>
      <w:r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01170A63" w14:textId="16080B15" w:rsidR="00624F06" w:rsidRPr="007F3204" w:rsidRDefault="00875516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>
        <w:rPr>
          <w:rFonts w:eastAsiaTheme="minorHAnsi" w:cs="Calibri"/>
          <w:kern w:val="0"/>
          <w:sz w:val="22"/>
          <w:lang w:eastAsia="en-NZ"/>
          <w14:ligatures w14:val="none"/>
        </w:rPr>
        <w:t>Further c</w:t>
      </w:r>
      <w:r w:rsidRPr="003F695C">
        <w:rPr>
          <w:rFonts w:eastAsiaTheme="minorHAnsi" w:cs="Calibri"/>
          <w:kern w:val="0"/>
          <w:sz w:val="22"/>
          <w:lang w:eastAsia="en-NZ"/>
          <w14:ligatures w14:val="none"/>
        </w:rPr>
        <w:t>larif</w:t>
      </w:r>
      <w:r>
        <w:rPr>
          <w:rFonts w:eastAsiaTheme="minorHAnsi" w:cs="Calibri"/>
          <w:kern w:val="0"/>
          <w:sz w:val="22"/>
          <w:lang w:eastAsia="en-NZ"/>
          <w14:ligatures w14:val="none"/>
        </w:rPr>
        <w:t xml:space="preserve">ication on </w:t>
      </w:r>
      <w:r w:rsidR="00557E15" w:rsidRPr="007F3204">
        <w:rPr>
          <w:rFonts w:eastAsiaTheme="minorHAnsi" w:cs="Calibri"/>
          <w:kern w:val="0"/>
          <w:sz w:val="22"/>
          <w:lang w:eastAsia="en-NZ"/>
          <w14:ligatures w14:val="none"/>
        </w:rPr>
        <w:t>which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 funding packages do not need to be referred to the Pane</w:t>
      </w:r>
      <w:r w:rsidR="00624F06" w:rsidRPr="007F3204">
        <w:rPr>
          <w:rFonts w:eastAsiaTheme="minorHAnsi" w:cs="Calibri"/>
          <w:kern w:val="0"/>
          <w:sz w:val="22"/>
          <w:lang w:eastAsia="en-NZ"/>
          <w14:ligatures w14:val="none"/>
        </w:rPr>
        <w:t>l</w:t>
      </w:r>
      <w:r w:rsidR="00ED360E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31089340" w14:textId="0F317F82" w:rsidR="00557E15" w:rsidRPr="007F3204" w:rsidRDefault="00ED360E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>
        <w:rPr>
          <w:rFonts w:eastAsiaTheme="minorHAnsi" w:cs="Calibri"/>
          <w:kern w:val="0"/>
          <w:sz w:val="22"/>
          <w:lang w:eastAsia="en-NZ"/>
          <w14:ligatures w14:val="none"/>
        </w:rPr>
        <w:t>C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larify what funding should be excluded </w:t>
      </w:r>
      <w:r w:rsidR="00557E15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when deciding 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>whether thresholds</w:t>
      </w:r>
      <w:r w:rsidR="00557E15" w:rsidRPr="007F3204">
        <w:rPr>
          <w:rFonts w:eastAsiaTheme="minorHAnsi" w:cs="Calibri"/>
          <w:kern w:val="0"/>
          <w:sz w:val="22"/>
          <w:lang w:eastAsia="en-NZ"/>
          <w14:ligatures w14:val="none"/>
        </w:rPr>
        <w:t xml:space="preserve"> for packages r</w:t>
      </w:r>
      <w:r w:rsidR="009B5D12" w:rsidRPr="007F3204">
        <w:rPr>
          <w:rFonts w:eastAsiaTheme="minorHAnsi" w:cs="Calibri"/>
          <w:kern w:val="0"/>
          <w:sz w:val="22"/>
          <w:lang w:eastAsia="en-NZ"/>
          <w14:ligatures w14:val="none"/>
        </w:rPr>
        <w:t>eferred to the Panel have been met</w:t>
      </w:r>
      <w:r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7FE95E07" w14:textId="37A82F1A" w:rsidR="00624F06" w:rsidRPr="007F3204" w:rsidRDefault="00ED360E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sz w:val="22"/>
          <w:lang w:eastAsia="en-NZ"/>
        </w:rPr>
      </w:pPr>
      <w:r>
        <w:rPr>
          <w:sz w:val="22"/>
          <w:lang w:eastAsia="en-NZ"/>
        </w:rPr>
        <w:t>P</w:t>
      </w:r>
      <w:r w:rsidR="009B5D12" w:rsidRPr="007F3204">
        <w:rPr>
          <w:sz w:val="22"/>
          <w:lang w:eastAsia="en-NZ"/>
        </w:rPr>
        <w:t xml:space="preserve">rovide </w:t>
      </w:r>
      <w:r w:rsidR="00557E15" w:rsidRPr="007F3204">
        <w:rPr>
          <w:sz w:val="22"/>
          <w:lang w:eastAsia="en-NZ"/>
        </w:rPr>
        <w:t xml:space="preserve">more </w:t>
      </w:r>
      <w:r w:rsidR="009B5D12" w:rsidRPr="007F3204">
        <w:rPr>
          <w:sz w:val="22"/>
          <w:lang w:eastAsia="en-NZ"/>
        </w:rPr>
        <w:t xml:space="preserve">detail about the types of evidence </w:t>
      </w:r>
      <w:r w:rsidR="00557E15" w:rsidRPr="007F3204">
        <w:rPr>
          <w:sz w:val="22"/>
          <w:lang w:eastAsia="en-NZ"/>
        </w:rPr>
        <w:t xml:space="preserve">required by </w:t>
      </w:r>
      <w:r w:rsidR="009B5D12" w:rsidRPr="007F3204">
        <w:rPr>
          <w:sz w:val="22"/>
          <w:lang w:eastAsia="en-NZ"/>
        </w:rPr>
        <w:t>the Panel.</w:t>
      </w:r>
    </w:p>
    <w:p w14:paraId="30D1662A" w14:textId="239C8A57" w:rsidR="009B5D12" w:rsidRPr="007F3204" w:rsidRDefault="009B5D12" w:rsidP="00315834">
      <w:pPr>
        <w:spacing w:line="240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</w:p>
    <w:p w14:paraId="6C492E4D" w14:textId="31ED0D2A" w:rsidR="009B5D12" w:rsidRPr="00875516" w:rsidRDefault="00557E15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lastRenderedPageBreak/>
        <w:t>A</w:t>
      </w:r>
      <w:r w:rsidR="009B5D12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 series of minor </w:t>
      </w: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changes </w:t>
      </w:r>
      <w:r w:rsidR="009B5D12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have </w:t>
      </w: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also </w:t>
      </w:r>
      <w:r w:rsidR="009B5D12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been made to clarify responsibilities and </w:t>
      </w: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improve </w:t>
      </w:r>
      <w:r w:rsidR="009B5D12"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readability. </w:t>
      </w:r>
    </w:p>
    <w:p w14:paraId="2CBB179C" w14:textId="44C4A095" w:rsidR="00315834" w:rsidRPr="00315834" w:rsidRDefault="00557E15" w:rsidP="00315834">
      <w:pPr>
        <w:pStyle w:val="xmsonormal"/>
        <w:spacing w:after="120" w:line="312" w:lineRule="auto"/>
        <w:rPr>
          <w:rFonts w:ascii="Verdana" w:hAnsi="Verdana" w:cstheme="minorHAnsi"/>
          <w:b/>
          <w:bCs/>
          <w:sz w:val="22"/>
          <w:szCs w:val="22"/>
        </w:rPr>
      </w:pPr>
      <w:r w:rsidRPr="00315834">
        <w:rPr>
          <w:rFonts w:ascii="Verdana" w:hAnsi="Verdana" w:cstheme="minorHAnsi"/>
          <w:b/>
          <w:bCs/>
          <w:sz w:val="22"/>
          <w:szCs w:val="22"/>
        </w:rPr>
        <w:t>What stays the same?</w:t>
      </w:r>
    </w:p>
    <w:p w14:paraId="0A63997C" w14:textId="71CB5739" w:rsidR="00557E15" w:rsidRPr="00875516" w:rsidRDefault="00557E15" w:rsidP="00315834">
      <w:pPr>
        <w:pStyle w:val="ListParagraph"/>
        <w:numPr>
          <w:ilvl w:val="0"/>
          <w:numId w:val="40"/>
        </w:numPr>
        <w:spacing w:line="312" w:lineRule="auto"/>
        <w:ind w:left="360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875516">
        <w:rPr>
          <w:rFonts w:eastAsiaTheme="minorHAnsi" w:cs="Calibri"/>
          <w:kern w:val="0"/>
          <w:sz w:val="22"/>
          <w:lang w:eastAsia="en-NZ"/>
          <w14:ligatures w14:val="none"/>
        </w:rPr>
        <w:t xml:space="preserve">Cabinet’s decisions resulting from the </w:t>
      </w:r>
      <w:hyperlink r:id="rId9" w:history="1">
        <w:r w:rsidR="00F2450A" w:rsidRPr="00875516">
          <w:rPr>
            <w:rStyle w:val="Hyperlink"/>
            <w:rFonts w:eastAsiaTheme="minorHAnsi" w:cs="Calibri"/>
            <w:kern w:val="0"/>
            <w:sz w:val="22"/>
            <w:lang w:eastAsia="en-NZ"/>
            <w14:ligatures w14:val="none"/>
          </w:rPr>
          <w:t>Independent Review</w:t>
        </w:r>
      </w:hyperlink>
      <w:r w:rsidR="00314C8A" w:rsidRPr="00875516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2C2C1412" w14:textId="6E1ED554" w:rsidR="00314C8A" w:rsidRPr="00875516" w:rsidRDefault="00C43F2F" w:rsidP="00315834">
      <w:pPr>
        <w:pStyle w:val="ListParagraph"/>
        <w:numPr>
          <w:ilvl w:val="0"/>
          <w:numId w:val="40"/>
        </w:numPr>
        <w:spacing w:line="312" w:lineRule="auto"/>
        <w:ind w:left="360"/>
        <w:rPr>
          <w:rFonts w:eastAsiaTheme="minorHAnsi" w:cs="Calibri"/>
          <w:kern w:val="0"/>
          <w:sz w:val="22"/>
          <w:lang w:eastAsia="en-NZ"/>
          <w14:ligatures w14:val="none"/>
        </w:rPr>
      </w:pPr>
      <w:hyperlink r:id="rId10" w:history="1">
        <w:r w:rsidR="00314C8A" w:rsidRPr="00875516">
          <w:rPr>
            <w:rStyle w:val="Hyperlink"/>
            <w:sz w:val="22"/>
          </w:rPr>
          <w:t>Operational Policy and Guidanc</w:t>
        </w:r>
        <w:r w:rsidR="00196FD3" w:rsidRPr="00875516">
          <w:rPr>
            <w:rStyle w:val="Hyperlink"/>
            <w:rFonts w:eastAsiaTheme="minorHAnsi" w:cs="Calibri"/>
            <w:kern w:val="0"/>
            <w:sz w:val="22"/>
            <w:lang w:eastAsia="en-NZ"/>
            <w14:ligatures w14:val="none"/>
          </w:rPr>
          <w:t>e 2024/25</w:t>
        </w:r>
      </w:hyperlink>
      <w:r w:rsidR="00314C8A" w:rsidRPr="00875516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5F50B557" w14:textId="7DD336EA" w:rsidR="009B5D12" w:rsidRPr="007F3204" w:rsidRDefault="00843EE6" w:rsidP="009B5D12">
      <w:pPr>
        <w:rPr>
          <w:b/>
          <w:bCs/>
          <w:sz w:val="22"/>
        </w:rPr>
      </w:pPr>
      <w:r>
        <w:rPr>
          <w:b/>
          <w:bCs/>
          <w:sz w:val="22"/>
        </w:rPr>
        <w:t>Ability</w:t>
      </w:r>
      <w:r w:rsidR="009B5D12" w:rsidRPr="007F3204">
        <w:rPr>
          <w:b/>
          <w:bCs/>
          <w:sz w:val="22"/>
        </w:rPr>
        <w:t xml:space="preserve"> for NASCs and EGL sites </w:t>
      </w:r>
      <w:r>
        <w:rPr>
          <w:b/>
          <w:bCs/>
          <w:sz w:val="22"/>
        </w:rPr>
        <w:t>to manage cases and respond to situations</w:t>
      </w:r>
      <w:r w:rsidR="009B5D12" w:rsidRPr="007F3204">
        <w:rPr>
          <w:b/>
          <w:bCs/>
          <w:sz w:val="22"/>
        </w:rPr>
        <w:t xml:space="preserve"> </w:t>
      </w:r>
      <w:r w:rsidR="00875516">
        <w:rPr>
          <w:b/>
          <w:bCs/>
          <w:sz w:val="22"/>
        </w:rPr>
        <w:t>where there are health and safety concerns</w:t>
      </w:r>
    </w:p>
    <w:p w14:paraId="3649A545" w14:textId="3076D159" w:rsidR="009B5D12" w:rsidRPr="007F3204" w:rsidRDefault="00875516" w:rsidP="009B5D12">
      <w:pPr>
        <w:rPr>
          <w:sz w:val="22"/>
        </w:rPr>
      </w:pPr>
      <w:r>
        <w:rPr>
          <w:sz w:val="22"/>
        </w:rPr>
        <w:t>The ToR now enables</w:t>
      </w:r>
      <w:r w:rsidRPr="003F695C">
        <w:rPr>
          <w:sz w:val="22"/>
        </w:rPr>
        <w:t xml:space="preserve"> NASCs and EGL sites </w:t>
      </w:r>
      <w:r w:rsidR="00E628CF">
        <w:rPr>
          <w:sz w:val="22"/>
        </w:rPr>
        <w:t>the ability</w:t>
      </w:r>
      <w:r>
        <w:rPr>
          <w:sz w:val="22"/>
        </w:rPr>
        <w:t xml:space="preserve"> to submit requests to the review panel where they cannot guarantee immediate budget availability whe</w:t>
      </w:r>
      <w:r w:rsidR="00EC0A2E">
        <w:rPr>
          <w:sz w:val="22"/>
        </w:rPr>
        <w:t>n</w:t>
      </w:r>
      <w:r w:rsidRPr="003F695C">
        <w:rPr>
          <w:sz w:val="22"/>
        </w:rPr>
        <w:t xml:space="preserve"> all the following circumstances apply:</w:t>
      </w:r>
      <w:r w:rsidR="009B5D12" w:rsidRPr="007F3204">
        <w:rPr>
          <w:sz w:val="22"/>
        </w:rPr>
        <w:t xml:space="preserve"> </w:t>
      </w:r>
    </w:p>
    <w:p w14:paraId="7C23612D" w14:textId="3B4260C4" w:rsidR="009B5D12" w:rsidRPr="00315834" w:rsidRDefault="00315834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>
        <w:rPr>
          <w:rFonts w:eastAsiaTheme="minorHAnsi" w:cs="Calibri"/>
          <w:kern w:val="0"/>
          <w:sz w:val="22"/>
          <w:lang w:eastAsia="en-NZ"/>
          <w14:ligatures w14:val="none"/>
        </w:rPr>
        <w:t>T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he person fits within the high priority categories for entry </w:t>
      </w:r>
      <w:r w:rsidR="00E01BCE" w:rsidRPr="00315834">
        <w:rPr>
          <w:rFonts w:eastAsiaTheme="minorHAnsi" w:cs="Calibri"/>
          <w:kern w:val="0"/>
          <w:sz w:val="22"/>
          <w:lang w:eastAsia="en-NZ"/>
          <w14:ligatures w14:val="none"/>
        </w:rPr>
        <w:t>in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>to residential care that are described in paragraph 25 of the Operational Policy</w:t>
      </w:r>
      <w:r w:rsidR="00167B66" w:rsidRPr="00315834">
        <w:rPr>
          <w:rFonts w:eastAsiaTheme="minorHAnsi" w:cs="Calibri"/>
          <w:kern w:val="0"/>
          <w:sz w:val="22"/>
          <w:lang w:eastAsia="en-NZ"/>
          <w14:ligatures w14:val="none"/>
        </w:rPr>
        <w:t>,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and/or there is a reasonably foreseeable and imminent </w:t>
      </w:r>
      <w:r w:rsidR="00693901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risk of 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>serious harm that cannot be addressed through non-residential support option</w:t>
      </w:r>
      <w:r w:rsidR="00E01BCE" w:rsidRPr="00315834">
        <w:rPr>
          <w:rFonts w:eastAsiaTheme="minorHAnsi" w:cs="Calibri"/>
          <w:kern w:val="0"/>
          <w:sz w:val="22"/>
          <w:lang w:eastAsia="en-NZ"/>
          <w14:ligatures w14:val="none"/>
        </w:rPr>
        <w:t>s</w:t>
      </w:r>
      <w:r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7453F40E" w14:textId="65E9CBE4" w:rsidR="009B5D12" w:rsidRPr="00315834" w:rsidRDefault="00315834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>
        <w:rPr>
          <w:rFonts w:eastAsiaTheme="minorHAnsi" w:cs="Calibri"/>
          <w:kern w:val="0"/>
          <w:sz w:val="22"/>
          <w:lang w:eastAsia="en-NZ"/>
          <w14:ligatures w14:val="none"/>
        </w:rPr>
        <w:t>T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he NASC or EGL site </w:t>
      </w:r>
      <w:r w:rsidR="00693901" w:rsidRPr="00315834">
        <w:rPr>
          <w:rFonts w:eastAsiaTheme="minorHAnsi" w:cs="Calibri"/>
          <w:kern w:val="0"/>
          <w:sz w:val="22"/>
          <w:lang w:eastAsia="en-NZ"/>
          <w14:ligatures w14:val="none"/>
        </w:rPr>
        <w:t>provides assurance to the Review Panel they are taking reasonable and practical steps to return to being within the budget within the financial year.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</w:p>
    <w:p w14:paraId="53C6AEE7" w14:textId="6FF15C92" w:rsidR="009B5D12" w:rsidRPr="00315834" w:rsidRDefault="00E01BCE" w:rsidP="00315834">
      <w:pPr>
        <w:pStyle w:val="xmsonormal"/>
        <w:spacing w:after="120" w:line="312" w:lineRule="auto"/>
        <w:rPr>
          <w:rFonts w:ascii="Verdana" w:hAnsi="Verdana" w:cstheme="minorHAnsi"/>
          <w:b/>
          <w:bCs/>
          <w:sz w:val="22"/>
          <w:szCs w:val="22"/>
        </w:rPr>
      </w:pPr>
      <w:r w:rsidRPr="00315834">
        <w:rPr>
          <w:rFonts w:ascii="Verdana" w:hAnsi="Verdana" w:cstheme="minorHAnsi"/>
          <w:b/>
          <w:bCs/>
          <w:sz w:val="22"/>
          <w:szCs w:val="22"/>
        </w:rPr>
        <w:t>Changes to p</w:t>
      </w:r>
      <w:r w:rsidR="009B5D12" w:rsidRPr="00315834">
        <w:rPr>
          <w:rFonts w:ascii="Verdana" w:hAnsi="Verdana" w:cstheme="minorHAnsi"/>
          <w:b/>
          <w:bCs/>
          <w:sz w:val="22"/>
          <w:szCs w:val="22"/>
        </w:rPr>
        <w:t>ackages to be referred to the Panel</w:t>
      </w:r>
    </w:p>
    <w:p w14:paraId="032B7413" w14:textId="02F9AA40" w:rsidR="00E01BCE" w:rsidRPr="00315834" w:rsidRDefault="00E01BCE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All new residential entry decisions need to be referred to the Panel</w:t>
      </w:r>
      <w:r w:rsidR="00315834" w:rsidRPr="00315834">
        <w:rPr>
          <w:rFonts w:eastAsiaTheme="minorHAnsi" w:cs="Calibri"/>
          <w:kern w:val="0"/>
          <w:sz w:val="22"/>
          <w:lang w:eastAsia="en-NZ"/>
          <w14:ligatures w14:val="none"/>
        </w:rPr>
        <w:t>.</w:t>
      </w:r>
    </w:p>
    <w:p w14:paraId="2DF90102" w14:textId="5FDFD8E2" w:rsidR="009B5D12" w:rsidRPr="007F3204" w:rsidRDefault="00E01BCE" w:rsidP="007F3204">
      <w:pPr>
        <w:pStyle w:val="ReportBody2"/>
        <w:numPr>
          <w:ilvl w:val="0"/>
          <w:numId w:val="0"/>
        </w:numPr>
        <w:rPr>
          <w:szCs w:val="22"/>
        </w:rPr>
      </w:pPr>
      <w:r>
        <w:rPr>
          <w:b/>
          <w:bCs/>
          <w:szCs w:val="22"/>
        </w:rPr>
        <w:t>What does not need to be referred to the Panel</w:t>
      </w:r>
    </w:p>
    <w:p w14:paraId="44A86778" w14:textId="77777777" w:rsidR="009B5D12" w:rsidRPr="007F3204" w:rsidRDefault="009B5D12" w:rsidP="009B5D12">
      <w:pPr>
        <w:rPr>
          <w:sz w:val="22"/>
        </w:rPr>
      </w:pPr>
      <w:r w:rsidRPr="007F3204">
        <w:rPr>
          <w:sz w:val="22"/>
        </w:rPr>
        <w:t xml:space="preserve">Price increases that arise in the following situations </w:t>
      </w:r>
      <w:r w:rsidRPr="007F3204">
        <w:rPr>
          <w:b/>
          <w:bCs/>
          <w:sz w:val="22"/>
        </w:rPr>
        <w:t>do not</w:t>
      </w:r>
      <w:r w:rsidRPr="007F3204">
        <w:rPr>
          <w:sz w:val="22"/>
        </w:rPr>
        <w:t xml:space="preserve"> need to be referred to the Panel: </w:t>
      </w:r>
    </w:p>
    <w:p w14:paraId="0B9633D9" w14:textId="29904479" w:rsidR="009B5D12" w:rsidRPr="00315834" w:rsidRDefault="009B5D12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increases of less than $5,000 a year to the DSS contribution to support packages, where the packages are managed by Health NZ </w:t>
      </w:r>
    </w:p>
    <w:p w14:paraId="1C4FC9BA" w14:textId="1E9F9ECA" w:rsidR="009B5D12" w:rsidRPr="00315834" w:rsidRDefault="009B5D12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increases developed using the Transparent Pricing Model that result from people moving between residential facilities or the reallocation of joint costs within a facility</w:t>
      </w:r>
    </w:p>
    <w:p w14:paraId="759D23E8" w14:textId="0C6DD476" w:rsidR="00B00658" w:rsidRPr="00315834" w:rsidRDefault="00B00658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packages that remain at the same cost or reduce in value. </w:t>
      </w:r>
    </w:p>
    <w:p w14:paraId="3BFA9965" w14:textId="77777777" w:rsidR="009B5D12" w:rsidRPr="00315834" w:rsidRDefault="009B5D12" w:rsidP="00315834">
      <w:pPr>
        <w:pStyle w:val="xmsonormal"/>
        <w:spacing w:after="120" w:line="312" w:lineRule="auto"/>
        <w:rPr>
          <w:rFonts w:ascii="Verdana" w:hAnsi="Verdana" w:cstheme="minorHAnsi"/>
          <w:b/>
          <w:bCs/>
          <w:sz w:val="22"/>
          <w:szCs w:val="22"/>
        </w:rPr>
      </w:pPr>
      <w:r w:rsidRPr="00315834">
        <w:rPr>
          <w:rFonts w:ascii="Verdana" w:hAnsi="Verdana" w:cstheme="minorHAnsi"/>
          <w:b/>
          <w:bCs/>
          <w:sz w:val="22"/>
          <w:szCs w:val="22"/>
        </w:rPr>
        <w:t xml:space="preserve">Exclusions when determining whether thresholds are met </w:t>
      </w:r>
    </w:p>
    <w:p w14:paraId="17DB93B5" w14:textId="77777777" w:rsidR="009B5D12" w:rsidRPr="007F3204" w:rsidRDefault="009B5D12" w:rsidP="009B5D12">
      <w:pPr>
        <w:rPr>
          <w:sz w:val="22"/>
        </w:rPr>
      </w:pPr>
      <w:r w:rsidRPr="007F3204">
        <w:rPr>
          <w:sz w:val="22"/>
        </w:rPr>
        <w:t xml:space="preserve">NASCs and EGL sites should </w:t>
      </w:r>
      <w:r w:rsidRPr="00315834">
        <w:rPr>
          <w:sz w:val="22"/>
        </w:rPr>
        <w:t>exclude</w:t>
      </w:r>
      <w:r w:rsidRPr="007F3204">
        <w:rPr>
          <w:sz w:val="22"/>
        </w:rPr>
        <w:t xml:space="preserve"> the following funding when determining whether funding thresholds to be considered by the Review Panel have been met: </w:t>
      </w:r>
    </w:p>
    <w:p w14:paraId="5DBE3C53" w14:textId="5EF8F060" w:rsidR="009B5D12" w:rsidRPr="007F3204" w:rsidRDefault="009B5D12" w:rsidP="009B5D12">
      <w:pPr>
        <w:pStyle w:val="ReportBody2"/>
        <w:numPr>
          <w:ilvl w:val="0"/>
          <w:numId w:val="34"/>
        </w:numPr>
        <w:rPr>
          <w:szCs w:val="22"/>
        </w:rPr>
      </w:pPr>
      <w:r w:rsidRPr="007F3204">
        <w:rPr>
          <w:szCs w:val="22"/>
        </w:rPr>
        <w:t>funding contributions from another government agency, such as Health NZ</w:t>
      </w:r>
    </w:p>
    <w:p w14:paraId="661D377B" w14:textId="7F54AF38" w:rsidR="009B5D12" w:rsidRPr="007F3204" w:rsidRDefault="009B5D12" w:rsidP="009B5D12">
      <w:pPr>
        <w:pStyle w:val="ReportBody2"/>
        <w:numPr>
          <w:ilvl w:val="0"/>
          <w:numId w:val="34"/>
        </w:numPr>
        <w:rPr>
          <w:szCs w:val="22"/>
        </w:rPr>
      </w:pPr>
      <w:r w:rsidRPr="007F3204">
        <w:rPr>
          <w:szCs w:val="22"/>
        </w:rPr>
        <w:t xml:space="preserve">the following </w:t>
      </w:r>
      <w:r w:rsidR="00B00658">
        <w:rPr>
          <w:szCs w:val="22"/>
        </w:rPr>
        <w:t>services</w:t>
      </w:r>
      <w:r w:rsidR="00B00658" w:rsidRPr="007F3204">
        <w:rPr>
          <w:szCs w:val="22"/>
        </w:rPr>
        <w:t xml:space="preserve"> </w:t>
      </w:r>
      <w:r w:rsidRPr="007F3204">
        <w:rPr>
          <w:szCs w:val="22"/>
        </w:rPr>
        <w:t xml:space="preserve">funded by DSS: </w:t>
      </w:r>
    </w:p>
    <w:p w14:paraId="09E66924" w14:textId="6ED304E1" w:rsidR="009B5D12" w:rsidRPr="007F3204" w:rsidRDefault="009B5D12" w:rsidP="009B5D12">
      <w:pPr>
        <w:pStyle w:val="ReportBody2"/>
        <w:numPr>
          <w:ilvl w:val="1"/>
          <w:numId w:val="34"/>
        </w:numPr>
        <w:ind w:left="714" w:hanging="357"/>
        <w:rPr>
          <w:szCs w:val="22"/>
        </w:rPr>
      </w:pPr>
      <w:r w:rsidRPr="007F3204">
        <w:rPr>
          <w:szCs w:val="22"/>
        </w:rPr>
        <w:t xml:space="preserve">MSD Vocational Services funding that has been transferred to DSS </w:t>
      </w:r>
    </w:p>
    <w:p w14:paraId="675C3C6E" w14:textId="34A7C648" w:rsidR="009B5D12" w:rsidRPr="007F3204" w:rsidRDefault="00B00658" w:rsidP="009B5D12">
      <w:pPr>
        <w:pStyle w:val="ReportBody2"/>
        <w:numPr>
          <w:ilvl w:val="1"/>
          <w:numId w:val="34"/>
        </w:numPr>
        <w:ind w:left="714" w:hanging="357"/>
        <w:rPr>
          <w:szCs w:val="22"/>
        </w:rPr>
      </w:pPr>
      <w:r>
        <w:rPr>
          <w:szCs w:val="22"/>
        </w:rPr>
        <w:lastRenderedPageBreak/>
        <w:t>o</w:t>
      </w:r>
      <w:r w:rsidR="009B5D12" w:rsidRPr="007F3204">
        <w:rPr>
          <w:szCs w:val="22"/>
        </w:rPr>
        <w:t>ne-off early investment or immediate resourcing funding that is expected to last less than 12 months</w:t>
      </w:r>
    </w:p>
    <w:p w14:paraId="58872432" w14:textId="477402D2" w:rsidR="009B5D12" w:rsidRDefault="009B5D12" w:rsidP="009B5D12">
      <w:pPr>
        <w:pStyle w:val="ReportBody2"/>
        <w:numPr>
          <w:ilvl w:val="1"/>
          <w:numId w:val="34"/>
        </w:numPr>
        <w:ind w:left="714" w:hanging="357"/>
        <w:rPr>
          <w:szCs w:val="22"/>
        </w:rPr>
      </w:pPr>
      <w:r w:rsidRPr="007F3204">
        <w:rPr>
          <w:szCs w:val="22"/>
        </w:rPr>
        <w:t>Behaviour Support Services funding.</w:t>
      </w:r>
    </w:p>
    <w:p w14:paraId="53848301" w14:textId="76BFAAAF" w:rsidR="009B5D12" w:rsidRPr="00315834" w:rsidRDefault="00B00658" w:rsidP="00315834">
      <w:pPr>
        <w:spacing w:line="312" w:lineRule="auto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Note: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when 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>a package is referred to the Panel, it may need to consider whether the package as a whole (i.e., incorporating the excluded funding)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,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responds to the 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person’s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 needs. </w:t>
      </w:r>
    </w:p>
    <w:p w14:paraId="1DA2AC56" w14:textId="3203EF44" w:rsidR="009B5D12" w:rsidRPr="00315834" w:rsidRDefault="009B5D12" w:rsidP="00315834">
      <w:pPr>
        <w:pStyle w:val="xmsonormal"/>
        <w:spacing w:after="120" w:line="312" w:lineRule="auto"/>
        <w:rPr>
          <w:rFonts w:cstheme="minorHAnsi"/>
          <w:szCs w:val="22"/>
        </w:rPr>
      </w:pPr>
      <w:r w:rsidRPr="00315834">
        <w:rPr>
          <w:rFonts w:ascii="Verdana" w:hAnsi="Verdana" w:cstheme="minorHAnsi"/>
          <w:b/>
          <w:bCs/>
          <w:sz w:val="22"/>
          <w:szCs w:val="22"/>
        </w:rPr>
        <w:t xml:space="preserve">Evidence required by the Panel </w:t>
      </w:r>
    </w:p>
    <w:p w14:paraId="04BA1319" w14:textId="58611361" w:rsidR="009B5D12" w:rsidRPr="007F3204" w:rsidRDefault="009B5D12" w:rsidP="009B5D12">
      <w:pPr>
        <w:rPr>
          <w:sz w:val="22"/>
        </w:rPr>
      </w:pPr>
      <w:r w:rsidRPr="007F3204">
        <w:rPr>
          <w:sz w:val="22"/>
        </w:rPr>
        <w:t xml:space="preserve">The </w:t>
      </w:r>
      <w:r w:rsidR="00ED360E">
        <w:rPr>
          <w:sz w:val="22"/>
        </w:rPr>
        <w:t>ToR</w:t>
      </w:r>
      <w:r w:rsidRPr="007F3204">
        <w:rPr>
          <w:sz w:val="22"/>
        </w:rPr>
        <w:t xml:space="preserve"> now require</w:t>
      </w:r>
      <w:r w:rsidR="00ED360E">
        <w:rPr>
          <w:sz w:val="22"/>
        </w:rPr>
        <w:t>s</w:t>
      </w:r>
      <w:r w:rsidRPr="007F3204">
        <w:rPr>
          <w:sz w:val="22"/>
        </w:rPr>
        <w:t xml:space="preserve"> the following</w:t>
      </w:r>
      <w:r w:rsidR="00B00658">
        <w:rPr>
          <w:sz w:val="22"/>
        </w:rPr>
        <w:t xml:space="preserve"> evidence</w:t>
      </w:r>
      <w:r w:rsidRPr="007F3204">
        <w:rPr>
          <w:sz w:val="22"/>
        </w:rPr>
        <w:t xml:space="preserve">: </w:t>
      </w:r>
    </w:p>
    <w:p w14:paraId="717B4DDE" w14:textId="62A1F4E2" w:rsidR="009B5D12" w:rsidRPr="00315834" w:rsidRDefault="009B5D12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primary evidence (e.g., health practitioner notes or reports, or a recently completed needs assessment or good life plan) should be </w:t>
      </w:r>
      <w:r w:rsidR="00B00658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provided 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rather than secondary information (e.g., discussions about primary evidence)</w:t>
      </w:r>
    </w:p>
    <w:p w14:paraId="226728CC" w14:textId="0BD8A001" w:rsidR="009B5D12" w:rsidRPr="00315834" w:rsidRDefault="009B5D12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sufficient </w:t>
      </w:r>
      <w:r w:rsidR="00B00658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evidence 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to </w:t>
      </w:r>
      <w:r w:rsidR="00B00658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demonstrate </w:t>
      </w: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>all the criteria relevant to a decision have been met</w:t>
      </w:r>
    </w:p>
    <w:p w14:paraId="258B5CA9" w14:textId="7E367005" w:rsidR="009B5D12" w:rsidRPr="00315834" w:rsidRDefault="00B00658" w:rsidP="00315834">
      <w:pPr>
        <w:pStyle w:val="ListParagraph"/>
        <w:numPr>
          <w:ilvl w:val="0"/>
          <w:numId w:val="38"/>
        </w:numPr>
        <w:spacing w:line="312" w:lineRule="auto"/>
        <w:ind w:left="357" w:hanging="357"/>
        <w:rPr>
          <w:rFonts w:eastAsiaTheme="minorHAnsi" w:cs="Calibri"/>
          <w:kern w:val="0"/>
          <w:sz w:val="22"/>
          <w:lang w:eastAsia="en-NZ"/>
          <w14:ligatures w14:val="none"/>
        </w:rPr>
      </w:pPr>
      <w:r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is </w:t>
      </w:r>
      <w:r w:rsidR="009B5D12" w:rsidRPr="00315834">
        <w:rPr>
          <w:rFonts w:eastAsiaTheme="minorHAnsi" w:cs="Calibri"/>
          <w:kern w:val="0"/>
          <w:sz w:val="22"/>
          <w:lang w:eastAsia="en-NZ"/>
          <w14:ligatures w14:val="none"/>
        </w:rPr>
        <w:t xml:space="preserve">sufficiently recent to show what changes (if any) have affected the level or type of support allocated to a person. </w:t>
      </w:r>
    </w:p>
    <w:sectPr w:rsidR="009B5D12" w:rsidRPr="0031583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AE196" w14:textId="77777777" w:rsidR="004F186B" w:rsidRDefault="004F186B" w:rsidP="00B81E3E">
      <w:pPr>
        <w:spacing w:after="0" w:line="240" w:lineRule="auto"/>
      </w:pPr>
      <w:r>
        <w:separator/>
      </w:r>
    </w:p>
  </w:endnote>
  <w:endnote w:type="continuationSeparator" w:id="0">
    <w:p w14:paraId="14ED4AAB" w14:textId="77777777" w:rsidR="004F186B" w:rsidRDefault="004F186B" w:rsidP="00B8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A32E" w14:textId="70C7ED54" w:rsidR="00F2450A" w:rsidRDefault="00F2450A" w:rsidP="00F2450A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E88C3" w14:textId="77777777" w:rsidR="004F186B" w:rsidRDefault="004F186B" w:rsidP="00B81E3E">
      <w:pPr>
        <w:spacing w:after="0" w:line="240" w:lineRule="auto"/>
      </w:pPr>
      <w:r>
        <w:separator/>
      </w:r>
    </w:p>
  </w:footnote>
  <w:footnote w:type="continuationSeparator" w:id="0">
    <w:p w14:paraId="1F275932" w14:textId="77777777" w:rsidR="004F186B" w:rsidRDefault="004F186B" w:rsidP="00B81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10F56" w14:textId="4377346C" w:rsidR="00B81E3E" w:rsidRDefault="00B81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22ECEC" wp14:editId="4B47218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4445"/>
              <wp:wrapNone/>
              <wp:docPr id="1804733480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231490" w14:textId="2FD8D179" w:rsidR="00B81E3E" w:rsidRPr="00B81E3E" w:rsidRDefault="00B81E3E" w:rsidP="00B81E3E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81E3E"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2EC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F231490" w14:textId="2FD8D179" w:rsidR="00B81E3E" w:rsidRPr="00B81E3E" w:rsidRDefault="00B81E3E" w:rsidP="00B81E3E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</w:pPr>
                    <w:r w:rsidRPr="00B81E3E"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A4B32" w14:textId="5EFB4BDB" w:rsidR="00B81E3E" w:rsidRDefault="00F2450A">
    <w:pPr>
      <w:pStyle w:val="Header"/>
    </w:pPr>
    <w:r>
      <w:rPr>
        <w:noProof/>
      </w:rPr>
      <w:drawing>
        <wp:inline distT="0" distB="0" distL="0" distR="0" wp14:anchorId="7C02F971" wp14:editId="5CF1D248">
          <wp:extent cx="5731510" cy="716915"/>
          <wp:effectExtent l="0" t="0" r="2540" b="6985"/>
          <wp:docPr id="7900977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E3E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E23E3D" wp14:editId="15F7C2D3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4445"/>
              <wp:wrapNone/>
              <wp:docPr id="894217925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CAF91A" w14:textId="05C30A8E" w:rsidR="00B81E3E" w:rsidRPr="00B81E3E" w:rsidRDefault="00B81E3E" w:rsidP="00B81E3E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81E3E"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E23E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-CONFIDENC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0CAF91A" w14:textId="05C30A8E" w:rsidR="00B81E3E" w:rsidRPr="00B81E3E" w:rsidRDefault="00B81E3E" w:rsidP="00B81E3E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</w:pPr>
                    <w:r w:rsidRPr="00B81E3E"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FCE3" w14:textId="74605631" w:rsidR="00B81E3E" w:rsidRDefault="00B81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D78E83" wp14:editId="300DCCD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4445"/>
              <wp:wrapNone/>
              <wp:docPr id="1031627979" name="Text Box 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E073D" w14:textId="60C85BD1" w:rsidR="00B81E3E" w:rsidRPr="00B81E3E" w:rsidRDefault="00B81E3E" w:rsidP="00B81E3E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81E3E">
                            <w:rPr>
                              <w:rFonts w:ascii="Calibri" w:hAnsi="Calibri" w:cs="Calibri"/>
                              <w:noProof/>
                              <w:color w:val="00000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78E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-CONFIDENC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0DE073D" w14:textId="60C85BD1" w:rsidR="00B81E3E" w:rsidRPr="00B81E3E" w:rsidRDefault="00B81E3E" w:rsidP="00B81E3E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</w:pPr>
                    <w:r w:rsidRPr="00B81E3E">
                      <w:rPr>
                        <w:rFonts w:ascii="Calibri" w:hAnsi="Calibri" w:cs="Calibri"/>
                        <w:noProof/>
                        <w:color w:val="00000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6D26"/>
    <w:multiLevelType w:val="hybridMultilevel"/>
    <w:tmpl w:val="40E649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5ED5814"/>
    <w:multiLevelType w:val="hybridMultilevel"/>
    <w:tmpl w:val="D778C224"/>
    <w:lvl w:ilvl="0" w:tplc="7BB42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6E7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B68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2EF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4C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302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E5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E4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3AB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74B1218"/>
    <w:multiLevelType w:val="hybridMultilevel"/>
    <w:tmpl w:val="8E0612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D679A"/>
    <w:multiLevelType w:val="hybridMultilevel"/>
    <w:tmpl w:val="8C4004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174597C"/>
    <w:multiLevelType w:val="multilevel"/>
    <w:tmpl w:val="18583548"/>
    <w:lvl w:ilvl="0">
      <w:start w:val="1"/>
      <w:numFmt w:val="decimal"/>
      <w:pStyle w:val="RecLevel1"/>
      <w:lvlText w:val="%1"/>
      <w:lvlJc w:val="left"/>
      <w:pPr>
        <w:tabs>
          <w:tab w:val="num" w:pos="493"/>
        </w:tabs>
        <w:ind w:left="493" w:hanging="493"/>
      </w:pPr>
      <w:rPr>
        <w:rFonts w:hint="default"/>
      </w:rPr>
    </w:lvl>
    <w:lvl w:ilvl="1">
      <w:start w:val="1"/>
      <w:numFmt w:val="decimal"/>
      <w:pStyle w:val="ReportBody2"/>
      <w:lvlText w:val="%1.%2"/>
      <w:lvlJc w:val="left"/>
      <w:pPr>
        <w:tabs>
          <w:tab w:val="num" w:pos="493"/>
        </w:tabs>
        <w:ind w:left="987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4"/>
        </w:tabs>
        <w:ind w:left="155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33"/>
        </w:tabs>
        <w:ind w:left="170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3"/>
        </w:tabs>
        <w:ind w:left="220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3"/>
        </w:tabs>
        <w:ind w:left="270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3"/>
        </w:tabs>
        <w:ind w:left="32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3"/>
        </w:tabs>
        <w:ind w:left="37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3"/>
        </w:tabs>
        <w:ind w:left="4293" w:hanging="1440"/>
      </w:pPr>
      <w:rPr>
        <w:rFonts w:hint="default"/>
      </w:rPr>
    </w:lvl>
  </w:abstractNum>
  <w:abstractNum w:abstractNumId="23" w15:restartNumberingAfterBreak="0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7D753E5"/>
    <w:multiLevelType w:val="hybridMultilevel"/>
    <w:tmpl w:val="70EA47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340ACE"/>
    <w:multiLevelType w:val="hybridMultilevel"/>
    <w:tmpl w:val="6556FA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9" w15:restartNumberingAfterBreak="0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A7850DE"/>
    <w:multiLevelType w:val="hybridMultilevel"/>
    <w:tmpl w:val="50D8CF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63385068">
    <w:abstractNumId w:val="20"/>
  </w:num>
  <w:num w:numId="2" w16cid:durableId="735546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65568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4915894">
    <w:abstractNumId w:val="16"/>
  </w:num>
  <w:num w:numId="5" w16cid:durableId="375618122">
    <w:abstractNumId w:val="9"/>
  </w:num>
  <w:num w:numId="6" w16cid:durableId="106395320">
    <w:abstractNumId w:val="7"/>
  </w:num>
  <w:num w:numId="7" w16cid:durableId="116946309">
    <w:abstractNumId w:val="29"/>
  </w:num>
  <w:num w:numId="8" w16cid:durableId="7200108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5682012">
    <w:abstractNumId w:val="9"/>
  </w:num>
  <w:num w:numId="10" w16cid:durableId="1887059547">
    <w:abstractNumId w:val="13"/>
  </w:num>
  <w:num w:numId="11" w16cid:durableId="314921807">
    <w:abstractNumId w:val="13"/>
  </w:num>
  <w:num w:numId="12" w16cid:durableId="570044481">
    <w:abstractNumId w:val="9"/>
  </w:num>
  <w:num w:numId="13" w16cid:durableId="1122308668">
    <w:abstractNumId w:val="11"/>
  </w:num>
  <w:num w:numId="14" w16cid:durableId="912860888">
    <w:abstractNumId w:val="24"/>
  </w:num>
  <w:num w:numId="15" w16cid:durableId="1986740447">
    <w:abstractNumId w:val="14"/>
  </w:num>
  <w:num w:numId="16" w16cid:durableId="1232959241">
    <w:abstractNumId w:val="6"/>
  </w:num>
  <w:num w:numId="17" w16cid:durableId="1291788780">
    <w:abstractNumId w:val="5"/>
  </w:num>
  <w:num w:numId="18" w16cid:durableId="642391531">
    <w:abstractNumId w:val="4"/>
  </w:num>
  <w:num w:numId="19" w16cid:durableId="447353114">
    <w:abstractNumId w:val="8"/>
  </w:num>
  <w:num w:numId="20" w16cid:durableId="1883899171">
    <w:abstractNumId w:val="3"/>
  </w:num>
  <w:num w:numId="21" w16cid:durableId="2053458880">
    <w:abstractNumId w:val="2"/>
  </w:num>
  <w:num w:numId="22" w16cid:durableId="1469741409">
    <w:abstractNumId w:val="1"/>
  </w:num>
  <w:num w:numId="23" w16cid:durableId="1388648009">
    <w:abstractNumId w:val="0"/>
  </w:num>
  <w:num w:numId="24" w16cid:durableId="1004939745">
    <w:abstractNumId w:val="19"/>
  </w:num>
  <w:num w:numId="25" w16cid:durableId="1905487623">
    <w:abstractNumId w:val="31"/>
  </w:num>
  <w:num w:numId="26" w16cid:durableId="100227161">
    <w:abstractNumId w:val="33"/>
  </w:num>
  <w:num w:numId="27" w16cid:durableId="2049722830">
    <w:abstractNumId w:val="30"/>
  </w:num>
  <w:num w:numId="28" w16cid:durableId="1805393312">
    <w:abstractNumId w:val="21"/>
  </w:num>
  <w:num w:numId="29" w16cid:durableId="873618630">
    <w:abstractNumId w:val="12"/>
  </w:num>
  <w:num w:numId="30" w16cid:durableId="1461996729">
    <w:abstractNumId w:val="23"/>
  </w:num>
  <w:num w:numId="31" w16cid:durableId="1404789583">
    <w:abstractNumId w:val="34"/>
  </w:num>
  <w:num w:numId="32" w16cid:durableId="1795059567">
    <w:abstractNumId w:val="26"/>
  </w:num>
  <w:num w:numId="33" w16cid:durableId="592856489">
    <w:abstractNumId w:val="22"/>
    <w:lvlOverride w:ilvl="0">
      <w:lvl w:ilvl="0">
        <w:start w:val="1"/>
        <w:numFmt w:val="lowerLetter"/>
        <w:pStyle w:val="RecLevel1"/>
        <w:lvlText w:val="%1)"/>
        <w:lvlJc w:val="left"/>
        <w:pPr>
          <w:ind w:left="360" w:hanging="360"/>
        </w:pPr>
        <w:rPr>
          <w:rFonts w:ascii="Verdana" w:hAnsi="Verdana" w:hint="default"/>
        </w:rPr>
      </w:lvl>
    </w:lvlOverride>
    <w:lvlOverride w:ilvl="1">
      <w:lvl w:ilvl="1">
        <w:start w:val="1"/>
        <w:numFmt w:val="lowerLetter"/>
        <w:pStyle w:val="ReportBody2"/>
        <w:lvlText w:val="%2."/>
        <w:lvlJc w:val="left"/>
        <w:pPr>
          <w:ind w:left="714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34" w16cid:durableId="1802570200">
    <w:abstractNumId w:val="25"/>
  </w:num>
  <w:num w:numId="35" w16cid:durableId="1757289137">
    <w:abstractNumId w:val="17"/>
  </w:num>
  <w:num w:numId="36" w16cid:durableId="1283222779">
    <w:abstractNumId w:val="15"/>
  </w:num>
  <w:num w:numId="37" w16cid:durableId="915555456">
    <w:abstractNumId w:val="18"/>
  </w:num>
  <w:num w:numId="38" w16cid:durableId="408579145">
    <w:abstractNumId w:val="32"/>
  </w:num>
  <w:num w:numId="39" w16cid:durableId="874973454">
    <w:abstractNumId w:val="10"/>
  </w:num>
  <w:num w:numId="40" w16cid:durableId="9202118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12"/>
    <w:rsid w:val="00000B4C"/>
    <w:rsid w:val="00005BBE"/>
    <w:rsid w:val="000106D0"/>
    <w:rsid w:val="00034336"/>
    <w:rsid w:val="00037CB0"/>
    <w:rsid w:val="00094A7B"/>
    <w:rsid w:val="000A576B"/>
    <w:rsid w:val="000C0346"/>
    <w:rsid w:val="000E3BB9"/>
    <w:rsid w:val="00106AED"/>
    <w:rsid w:val="00123E3C"/>
    <w:rsid w:val="00167B66"/>
    <w:rsid w:val="00193BE6"/>
    <w:rsid w:val="001945C4"/>
    <w:rsid w:val="00195018"/>
    <w:rsid w:val="00196FD3"/>
    <w:rsid w:val="001D3744"/>
    <w:rsid w:val="00213DA6"/>
    <w:rsid w:val="00216302"/>
    <w:rsid w:val="00236D2D"/>
    <w:rsid w:val="00245A2B"/>
    <w:rsid w:val="002C58A7"/>
    <w:rsid w:val="002D1C62"/>
    <w:rsid w:val="002D367B"/>
    <w:rsid w:val="002D7AFA"/>
    <w:rsid w:val="00314C8A"/>
    <w:rsid w:val="00315834"/>
    <w:rsid w:val="00354EC2"/>
    <w:rsid w:val="00397220"/>
    <w:rsid w:val="003B0A38"/>
    <w:rsid w:val="003E2869"/>
    <w:rsid w:val="003E3722"/>
    <w:rsid w:val="003F10DB"/>
    <w:rsid w:val="003F4F19"/>
    <w:rsid w:val="004227ED"/>
    <w:rsid w:val="00445BCE"/>
    <w:rsid w:val="00454170"/>
    <w:rsid w:val="00454F25"/>
    <w:rsid w:val="004710B8"/>
    <w:rsid w:val="004F186B"/>
    <w:rsid w:val="0052379C"/>
    <w:rsid w:val="0052484C"/>
    <w:rsid w:val="00533E65"/>
    <w:rsid w:val="005532C4"/>
    <w:rsid w:val="00557E15"/>
    <w:rsid w:val="0056681E"/>
    <w:rsid w:val="00572AA9"/>
    <w:rsid w:val="00595906"/>
    <w:rsid w:val="005B11F9"/>
    <w:rsid w:val="00624F06"/>
    <w:rsid w:val="00631D73"/>
    <w:rsid w:val="00693901"/>
    <w:rsid w:val="006B19BD"/>
    <w:rsid w:val="00701BAB"/>
    <w:rsid w:val="007434E1"/>
    <w:rsid w:val="007B201A"/>
    <w:rsid w:val="007C2143"/>
    <w:rsid w:val="007C3A78"/>
    <w:rsid w:val="007F3204"/>
    <w:rsid w:val="007F3ACD"/>
    <w:rsid w:val="0080133F"/>
    <w:rsid w:val="0080498F"/>
    <w:rsid w:val="00836225"/>
    <w:rsid w:val="00843EE6"/>
    <w:rsid w:val="00860654"/>
    <w:rsid w:val="00875516"/>
    <w:rsid w:val="00893A64"/>
    <w:rsid w:val="008C387D"/>
    <w:rsid w:val="008D06E7"/>
    <w:rsid w:val="008D5927"/>
    <w:rsid w:val="00903467"/>
    <w:rsid w:val="00906EAA"/>
    <w:rsid w:val="00970DD2"/>
    <w:rsid w:val="009B5D12"/>
    <w:rsid w:val="009D15F1"/>
    <w:rsid w:val="009D2B10"/>
    <w:rsid w:val="009E1FEE"/>
    <w:rsid w:val="00A2199C"/>
    <w:rsid w:val="00A43896"/>
    <w:rsid w:val="00A6244E"/>
    <w:rsid w:val="00AB4A28"/>
    <w:rsid w:val="00B00658"/>
    <w:rsid w:val="00B41635"/>
    <w:rsid w:val="00B5357A"/>
    <w:rsid w:val="00B81E3E"/>
    <w:rsid w:val="00BF260D"/>
    <w:rsid w:val="00C43F2F"/>
    <w:rsid w:val="00C503A7"/>
    <w:rsid w:val="00C5215F"/>
    <w:rsid w:val="00CA5C72"/>
    <w:rsid w:val="00CB4A28"/>
    <w:rsid w:val="00CC02E4"/>
    <w:rsid w:val="00CD01FE"/>
    <w:rsid w:val="00D21FC6"/>
    <w:rsid w:val="00D273BE"/>
    <w:rsid w:val="00D34EA0"/>
    <w:rsid w:val="00D36063"/>
    <w:rsid w:val="00D46B5E"/>
    <w:rsid w:val="00D61D0C"/>
    <w:rsid w:val="00DA77BB"/>
    <w:rsid w:val="00DD6907"/>
    <w:rsid w:val="00DD7526"/>
    <w:rsid w:val="00E01BCE"/>
    <w:rsid w:val="00E3627B"/>
    <w:rsid w:val="00E628CF"/>
    <w:rsid w:val="00E671C3"/>
    <w:rsid w:val="00E81A45"/>
    <w:rsid w:val="00E8391E"/>
    <w:rsid w:val="00E90142"/>
    <w:rsid w:val="00E9269E"/>
    <w:rsid w:val="00EC0A2E"/>
    <w:rsid w:val="00ED360E"/>
    <w:rsid w:val="00EE68B4"/>
    <w:rsid w:val="00EF148A"/>
    <w:rsid w:val="00F06EE8"/>
    <w:rsid w:val="00F07349"/>
    <w:rsid w:val="00F113EF"/>
    <w:rsid w:val="00F126F3"/>
    <w:rsid w:val="00F22AE5"/>
    <w:rsid w:val="00F2450A"/>
    <w:rsid w:val="00F829C0"/>
    <w:rsid w:val="00F8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1C6B4"/>
  <w15:chartTrackingRefBased/>
  <w15:docId w15:val="{EE642EC0-824D-4C31-82D4-ECA1D1A5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Number" w:semiHidden="1"/>
    <w:lsdException w:name="List 4" w:semiHidden="1" w:unhideWhenUsed="1"/>
    <w:lsdException w:name="List 5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/>
    <w:lsdException w:name="TOC Heading" w:semiHidden="1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76B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customStyle="1" w:styleId="RecLevel1">
    <w:name w:val="Rec Level1"/>
    <w:basedOn w:val="Normal"/>
    <w:qFormat/>
    <w:rsid w:val="009B5D12"/>
    <w:pPr>
      <w:numPr>
        <w:numId w:val="33"/>
      </w:numPr>
      <w:spacing w:before="120"/>
    </w:pPr>
    <w:rPr>
      <w:rFonts w:eastAsia="Times New Roman"/>
      <w:color w:val="000000"/>
      <w:kern w:val="22"/>
      <w:sz w:val="22"/>
      <w:szCs w:val="20"/>
      <w:lang w:eastAsia="en-NZ"/>
      <w14:ligatures w14:val="none"/>
    </w:rPr>
  </w:style>
  <w:style w:type="paragraph" w:customStyle="1" w:styleId="ReportBody2">
    <w:name w:val="Report Body 2"/>
    <w:basedOn w:val="RecLevel1"/>
    <w:rsid w:val="009B5D12"/>
    <w:pPr>
      <w:numPr>
        <w:ilvl w:val="1"/>
      </w:numPr>
    </w:pPr>
  </w:style>
  <w:style w:type="paragraph" w:styleId="Header">
    <w:name w:val="header"/>
    <w:basedOn w:val="Normal"/>
    <w:link w:val="HeaderChar"/>
    <w:uiPriority w:val="99"/>
    <w:semiHidden/>
    <w:rsid w:val="00B81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E3E"/>
    <w:rPr>
      <w:rFonts w:ascii="Verdana" w:hAnsi="Verdana" w:cs="Arial"/>
      <w:szCs w:val="22"/>
    </w:rPr>
  </w:style>
  <w:style w:type="paragraph" w:customStyle="1" w:styleId="xmsonormal">
    <w:name w:val="x_msonormal"/>
    <w:basedOn w:val="Normal"/>
    <w:rsid w:val="00AB4A28"/>
    <w:pPr>
      <w:spacing w:after="0" w:line="240" w:lineRule="auto"/>
    </w:pPr>
    <w:rPr>
      <w:rFonts w:ascii="Aptos" w:eastAsiaTheme="minorHAnsi" w:hAnsi="Aptos" w:cs="Calibri"/>
      <w:kern w:val="0"/>
      <w:sz w:val="24"/>
      <w:szCs w:val="24"/>
      <w:lang w:eastAsia="en-NZ"/>
      <w14:ligatures w14:val="none"/>
    </w:rPr>
  </w:style>
  <w:style w:type="paragraph" w:styleId="Revision">
    <w:name w:val="Revision"/>
    <w:hidden/>
    <w:uiPriority w:val="99"/>
    <w:semiHidden/>
    <w:rsid w:val="007C3A78"/>
    <w:rPr>
      <w:rFonts w:ascii="Verdana" w:hAnsi="Verdana" w:cs="Arial"/>
      <w:szCs w:val="22"/>
    </w:rPr>
  </w:style>
  <w:style w:type="character" w:customStyle="1" w:styleId="normaltextrun">
    <w:name w:val="normaltextrun"/>
    <w:basedOn w:val="DefaultParagraphFont"/>
    <w:rsid w:val="00E8391E"/>
  </w:style>
  <w:style w:type="character" w:customStyle="1" w:styleId="eop">
    <w:name w:val="eop"/>
    <w:basedOn w:val="DefaultParagraphFont"/>
    <w:rsid w:val="00E839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1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FC6"/>
    <w:rPr>
      <w:rFonts w:ascii="Verdana" w:hAnsi="Verdana" w:cs="Arial"/>
      <w:b/>
      <w:bCs/>
    </w:rPr>
  </w:style>
  <w:style w:type="character" w:styleId="Hyperlink">
    <w:name w:val="Hyperlink"/>
    <w:basedOn w:val="DefaultParagraphFont"/>
    <w:uiPriority w:val="99"/>
    <w:semiHidden/>
    <w:rsid w:val="00314C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C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F245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support.govt.nz/taskforce/independent-revie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isabilitysupport.govt.nz/taskforce/independent-review/information-for-providers/operational-policy-and-guidelines-2024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sabilitysupport.govt.nz/taskforce/independent-review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EB21C-6A06-44B4-AC20-4C87C625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765</Words>
  <Characters>4365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Shaw</dc:creator>
  <cp:keywords/>
  <dc:description/>
  <cp:lastModifiedBy>Claire Lord</cp:lastModifiedBy>
  <cp:revision>2</cp:revision>
  <dcterms:created xsi:type="dcterms:W3CDTF">2024-11-17T20:58:00Z</dcterms:created>
  <dcterms:modified xsi:type="dcterms:W3CDTF">2024-11-17T20:58:00Z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3d7d64cb,6b920c28,354caec5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2024-11-13T04:25:41Z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5487e137-8109-43c0-9668-f270fef4d5c4</vt:lpwstr>
  </property>
  <property fmtid="{D5CDD505-2E9C-101B-9397-08002B2CF9AE}" pid="11" name="MSIP_Label_f43e46a9-9901-46e9-bfae-bb6189d4cb66_ContentBits">
    <vt:lpwstr>1</vt:lpwstr>
  </property>
</Properties>
</file>