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5957" w14:textId="45D2697B" w:rsidR="00E5186C" w:rsidRDefault="00E5186C" w:rsidP="00E5186C">
      <w:pPr>
        <w:pStyle w:val="Heading1"/>
        <w:spacing w:before="0"/>
        <w:rPr>
          <w:rFonts w:eastAsia="Verdana"/>
        </w:rPr>
      </w:pPr>
      <w:bookmarkStart w:id="0" w:name="_Toc176958213"/>
      <w:bookmarkStart w:id="1" w:name="_Hlk176956812"/>
      <w:r>
        <w:softHyphen/>
      </w:r>
      <w:r>
        <w:softHyphen/>
      </w:r>
      <w:bookmarkStart w:id="2" w:name="_Toc386619898"/>
      <w:bookmarkStart w:id="3" w:name="_Toc402433422"/>
      <w:bookmarkEnd w:id="0"/>
      <w:bookmarkEnd w:id="1"/>
      <w:r w:rsidR="005F528B" w:rsidRPr="005F528B">
        <w:t>Fact sheet:</w:t>
      </w:r>
    </w:p>
    <w:bookmarkEnd w:id="2"/>
    <w:bookmarkEnd w:id="3"/>
    <w:p w14:paraId="29FEEE60" w14:textId="5D1B1FCF" w:rsidR="00EC2CE7" w:rsidRDefault="005F528B" w:rsidP="00E5186C">
      <w:pPr>
        <w:pStyle w:val="Heading2"/>
        <w:spacing w:before="600"/>
      </w:pPr>
      <w:r w:rsidRPr="005F528B">
        <w:t>NASC fiscal envelope and EGL site budget methodology</w:t>
      </w:r>
    </w:p>
    <w:p w14:paraId="4F8D322C" w14:textId="77777777" w:rsidR="005F528B" w:rsidRDefault="005F528B" w:rsidP="005F528B">
      <w:r>
        <w:t>This fact sheet follows the Government’s recent announcement of the Independent Review of the Disability Support System. It explains how indicative budgets for NASCs and fixed budgets for EGL sites have been calculated and will be reinstated, as outlined in Recommendation 1 of the review.</w:t>
      </w:r>
    </w:p>
    <w:p w14:paraId="6230FD92" w14:textId="47D616B9" w:rsidR="00E5186C" w:rsidRPr="00DC30ED" w:rsidRDefault="005F528B" w:rsidP="00E5186C">
      <w:pPr>
        <w:pStyle w:val="Heading3"/>
        <w:spacing w:before="120"/>
      </w:pPr>
      <w:r w:rsidRPr="005F528B">
        <w:t>Budget methodology</w:t>
      </w:r>
    </w:p>
    <w:p w14:paraId="6E31F832" w14:textId="6EE204A4" w:rsidR="005F528B" w:rsidRDefault="005F528B" w:rsidP="005F528B">
      <w:r>
        <w:t>In Budget 2024, the Government provided additional funding of $1.1 billion to support the delivery of Disability Support Services. The Budget also established funding for Disability Support Services for the 2024/25 year.</w:t>
      </w:r>
    </w:p>
    <w:p w14:paraId="74CFCC9B" w14:textId="77777777" w:rsidR="00E5186C" w:rsidRDefault="005F528B" w:rsidP="005F528B">
      <w:r>
        <w:t>Against this background, budgets have been calculated with a starting point of NASC and EGL site spend in 2023/24, with additional funding from Budget 2024 going to support growth for community-based supports.</w:t>
      </w:r>
    </w:p>
    <w:p w14:paraId="266A5204" w14:textId="77777777" w:rsidR="005F528B" w:rsidRDefault="005F528B" w:rsidP="005F528B"/>
    <w:p w14:paraId="0B0891F8" w14:textId="77777777" w:rsidR="005F528B" w:rsidRDefault="005F528B" w:rsidP="005F528B">
      <w:pPr>
        <w:pStyle w:val="Heading3"/>
        <w:spacing w:before="120"/>
      </w:pPr>
      <w:r>
        <w:t>NASC and EGL site budgets</w:t>
      </w:r>
    </w:p>
    <w:p w14:paraId="62D48C37" w14:textId="77777777" w:rsidR="005F528B" w:rsidRDefault="005F528B" w:rsidP="005F528B">
      <w:r>
        <w:t>NASCs and EGL sites are required to manage within an overall budget for supports. This budget includes a specific component for residential care, as per Recommendation 2 of the review.</w:t>
      </w:r>
    </w:p>
    <w:p w14:paraId="0F1411DE" w14:textId="77777777" w:rsidR="005F528B" w:rsidRDefault="005F528B" w:rsidP="005F528B"/>
    <w:p w14:paraId="0FFE3D1B" w14:textId="77777777" w:rsidR="005F528B" w:rsidRDefault="005F528B" w:rsidP="005F528B">
      <w:r>
        <w:t>Each NASC and EGL site has a budget that is greater than their spend in 2023/24.</w:t>
      </w:r>
    </w:p>
    <w:p w14:paraId="277AE4EA" w14:textId="77777777" w:rsidR="005F528B" w:rsidRDefault="005F528B" w:rsidP="005F528B"/>
    <w:p w14:paraId="30ACB003" w14:textId="77777777" w:rsidR="005F528B" w:rsidRDefault="005F528B" w:rsidP="005F528B">
      <w:r>
        <w:t>To manage within budget, NASCs will need to ensure future funding decisions are carefully managed.</w:t>
      </w:r>
    </w:p>
    <w:p w14:paraId="6BE9361C" w14:textId="77777777" w:rsidR="005F528B" w:rsidRDefault="005F528B" w:rsidP="005F528B"/>
    <w:p w14:paraId="6CCDB3E6" w14:textId="77777777" w:rsidR="005F528B" w:rsidRDefault="005F528B" w:rsidP="005F528B">
      <w:r>
        <w:t xml:space="preserve">Funding managed by NASCs and EGL </w:t>
      </w:r>
      <w:proofErr w:type="gramStart"/>
      <w:r>
        <w:t>sites</w:t>
      </w:r>
      <w:proofErr w:type="gramEnd"/>
    </w:p>
    <w:p w14:paraId="2A7B75C4" w14:textId="77777777" w:rsidR="005F528B" w:rsidRDefault="005F528B" w:rsidP="005F528B">
      <w:r>
        <w:t>NASCs and EGL sites manage funding for supports paid via CCPS. The spend relating to these supports will be reflected against the NASC/EGL site budget.</w:t>
      </w:r>
    </w:p>
    <w:p w14:paraId="5D61B9BE" w14:textId="77777777" w:rsidR="005F528B" w:rsidRDefault="005F528B" w:rsidP="005F528B"/>
    <w:p w14:paraId="091F8A30" w14:textId="77777777" w:rsidR="005F528B" w:rsidRDefault="005F528B" w:rsidP="005F528B">
      <w:r>
        <w:t>This includes:</w:t>
      </w:r>
    </w:p>
    <w:p w14:paraId="1A0516F3" w14:textId="77777777" w:rsidR="005F528B" w:rsidRDefault="005F528B" w:rsidP="005F528B"/>
    <w:p w14:paraId="504E3501" w14:textId="77777777" w:rsidR="005F528B" w:rsidRDefault="005F528B" w:rsidP="005F528B">
      <w:r>
        <w:t xml:space="preserve">Facility-based supports, which includes community residential care in group homes and in aged care, facility-based respite care, contract board, and foster </w:t>
      </w:r>
      <w:proofErr w:type="gramStart"/>
      <w:r>
        <w:t>care</w:t>
      </w:r>
      <w:proofErr w:type="gramEnd"/>
    </w:p>
    <w:p w14:paraId="63544133" w14:textId="77777777" w:rsidR="005F528B" w:rsidRDefault="005F528B" w:rsidP="005F528B">
      <w:r>
        <w:t xml:space="preserve">Community-based supports, which </w:t>
      </w:r>
      <w:proofErr w:type="gramStart"/>
      <w:r>
        <w:t>includes:</w:t>
      </w:r>
      <w:proofErr w:type="gramEnd"/>
      <w:r>
        <w:t xml:space="preserve"> household management, personal care, supported living, and other similar supports</w:t>
      </w:r>
    </w:p>
    <w:p w14:paraId="32563990" w14:textId="77777777" w:rsidR="005F528B" w:rsidRDefault="005F528B" w:rsidP="005F528B">
      <w:r>
        <w:t>Flexible supports, which includes: IF Household Management, IF Personal Care, IF Respite, EIF, Carer Supports, and Personal Budget services (including EGL Personal Budgets).</w:t>
      </w:r>
    </w:p>
    <w:p w14:paraId="30EB22B4" w14:textId="77777777" w:rsidR="005F528B" w:rsidRDefault="005F528B" w:rsidP="005F528B">
      <w:r>
        <w:t>Note: these items and other similar costs will be reported against the NASC and EGL site budgets.</w:t>
      </w:r>
    </w:p>
    <w:p w14:paraId="479F219E" w14:textId="77777777" w:rsidR="005F528B" w:rsidRDefault="005F528B" w:rsidP="005F528B"/>
    <w:p w14:paraId="3ED97627" w14:textId="77777777" w:rsidR="005F528B" w:rsidRDefault="005F528B" w:rsidP="005F528B">
      <w:pPr>
        <w:pStyle w:val="Heading3"/>
        <w:spacing w:before="120"/>
      </w:pPr>
      <w:r>
        <w:t xml:space="preserve">Funding managed </w:t>
      </w:r>
      <w:proofErr w:type="gramStart"/>
      <w:r>
        <w:t>nationally</w:t>
      </w:r>
      <w:proofErr w:type="gramEnd"/>
    </w:p>
    <w:p w14:paraId="37968225" w14:textId="77777777" w:rsidR="005F528B" w:rsidRDefault="005F528B" w:rsidP="005F528B">
      <w:r>
        <w:t>The spend relating to these supports will not be reflected against the NASC and EGL site budgets.</w:t>
      </w:r>
    </w:p>
    <w:p w14:paraId="240BA653" w14:textId="77777777" w:rsidR="005F528B" w:rsidRDefault="005F528B" w:rsidP="005F528B"/>
    <w:p w14:paraId="6DF892AB" w14:textId="77777777" w:rsidR="005F528B" w:rsidRPr="005F528B" w:rsidRDefault="005F528B" w:rsidP="005F528B">
      <w:pPr>
        <w:rPr>
          <w:b/>
          <w:bCs/>
          <w:sz w:val="28"/>
          <w:szCs w:val="22"/>
        </w:rPr>
      </w:pPr>
      <w:r w:rsidRPr="005F528B">
        <w:rPr>
          <w:b/>
          <w:bCs/>
          <w:sz w:val="28"/>
          <w:szCs w:val="22"/>
        </w:rPr>
        <w:t>Supports allocated by NASCs and funded nationally include:</w:t>
      </w:r>
    </w:p>
    <w:p w14:paraId="741FA620" w14:textId="77777777" w:rsidR="005F528B" w:rsidRDefault="005F528B" w:rsidP="005F528B">
      <w:pPr>
        <w:pStyle w:val="ListParagraph"/>
        <w:numPr>
          <w:ilvl w:val="0"/>
          <w:numId w:val="17"/>
        </w:numPr>
      </w:pPr>
      <w:r>
        <w:t>behaviour support</w:t>
      </w:r>
    </w:p>
    <w:p w14:paraId="7D350B23" w14:textId="77777777" w:rsidR="005F528B" w:rsidRDefault="005F528B" w:rsidP="005F528B">
      <w:pPr>
        <w:pStyle w:val="ListParagraph"/>
        <w:numPr>
          <w:ilvl w:val="0"/>
          <w:numId w:val="17"/>
        </w:numPr>
      </w:pPr>
      <w:proofErr w:type="spellStart"/>
      <w:r>
        <w:t>Oranga</w:t>
      </w:r>
      <w:proofErr w:type="spellEnd"/>
      <w:r>
        <w:t xml:space="preserve"> Tamariki packages</w:t>
      </w:r>
    </w:p>
    <w:p w14:paraId="76F9451B" w14:textId="77777777" w:rsidR="005F528B" w:rsidRDefault="005F528B" w:rsidP="005F528B">
      <w:pPr>
        <w:pStyle w:val="ListParagraph"/>
        <w:numPr>
          <w:ilvl w:val="0"/>
          <w:numId w:val="17"/>
        </w:numPr>
      </w:pPr>
      <w:r>
        <w:t>supports paid via CMS.</w:t>
      </w:r>
    </w:p>
    <w:p w14:paraId="53DD25B4" w14:textId="77777777" w:rsidR="005F528B" w:rsidRPr="005F528B" w:rsidRDefault="005F528B" w:rsidP="005F528B">
      <w:pPr>
        <w:rPr>
          <w:b/>
          <w:bCs/>
          <w:sz w:val="28"/>
          <w:szCs w:val="22"/>
        </w:rPr>
      </w:pPr>
      <w:r w:rsidRPr="005F528B">
        <w:rPr>
          <w:b/>
          <w:bCs/>
          <w:sz w:val="28"/>
          <w:szCs w:val="22"/>
        </w:rPr>
        <w:t>Supports funded nationally:</w:t>
      </w:r>
    </w:p>
    <w:p w14:paraId="65FC3ED5" w14:textId="77777777" w:rsidR="005F528B" w:rsidRDefault="005F528B" w:rsidP="005F528B">
      <w:pPr>
        <w:pStyle w:val="ListParagraph"/>
        <w:numPr>
          <w:ilvl w:val="0"/>
          <w:numId w:val="18"/>
        </w:numPr>
      </w:pPr>
      <w:r>
        <w:t>environmental supports, including equipment, hearing aids, and cochlear implants.</w:t>
      </w:r>
    </w:p>
    <w:p w14:paraId="1903666B" w14:textId="77777777" w:rsidR="005F528B" w:rsidRDefault="005F528B" w:rsidP="005F528B">
      <w:pPr>
        <w:pStyle w:val="ListParagraph"/>
        <w:numPr>
          <w:ilvl w:val="0"/>
          <w:numId w:val="18"/>
        </w:numPr>
      </w:pPr>
      <w:r>
        <w:t>connecting costs, including the costs of the NASC and DIAS contracts.</w:t>
      </w:r>
    </w:p>
    <w:p w14:paraId="327CE612" w14:textId="77777777" w:rsidR="005F528B" w:rsidRDefault="005F528B" w:rsidP="005F528B">
      <w:pPr>
        <w:pStyle w:val="ListParagraph"/>
        <w:numPr>
          <w:ilvl w:val="0"/>
          <w:numId w:val="18"/>
        </w:numPr>
      </w:pPr>
      <w:r>
        <w:t>child development services</w:t>
      </w:r>
    </w:p>
    <w:p w14:paraId="7C931A26" w14:textId="77777777" w:rsidR="005F528B" w:rsidRDefault="005F528B" w:rsidP="005F528B">
      <w:pPr>
        <w:pStyle w:val="ListParagraph"/>
        <w:numPr>
          <w:ilvl w:val="0"/>
          <w:numId w:val="18"/>
        </w:numPr>
      </w:pPr>
      <w:r>
        <w:t>supports under the High and Complex Framework, including Secure Forensic Care, and RIDSAS.</w:t>
      </w:r>
    </w:p>
    <w:p w14:paraId="325F2D4D" w14:textId="77777777" w:rsidR="005F528B" w:rsidRPr="005F528B" w:rsidRDefault="005F528B" w:rsidP="005F528B">
      <w:pPr>
        <w:rPr>
          <w:b/>
          <w:bCs/>
          <w:sz w:val="28"/>
          <w:szCs w:val="22"/>
        </w:rPr>
      </w:pPr>
      <w:r w:rsidRPr="005F528B">
        <w:rPr>
          <w:b/>
          <w:bCs/>
          <w:sz w:val="28"/>
          <w:szCs w:val="22"/>
        </w:rPr>
        <w:t>Ancillary costs funded nationally:</w:t>
      </w:r>
    </w:p>
    <w:p w14:paraId="0859A271" w14:textId="77777777" w:rsidR="005F528B" w:rsidRDefault="005F528B" w:rsidP="005F528B">
      <w:pPr>
        <w:pStyle w:val="ListParagraph"/>
        <w:numPr>
          <w:ilvl w:val="0"/>
          <w:numId w:val="19"/>
        </w:numPr>
      </w:pPr>
      <w:r>
        <w:t>sleepover top-up payments</w:t>
      </w:r>
    </w:p>
    <w:p w14:paraId="71B976C1" w14:textId="77777777" w:rsidR="005F528B" w:rsidRDefault="005F528B" w:rsidP="005F528B">
      <w:pPr>
        <w:pStyle w:val="ListParagraph"/>
        <w:numPr>
          <w:ilvl w:val="0"/>
          <w:numId w:val="19"/>
        </w:numPr>
      </w:pPr>
      <w:r>
        <w:t xml:space="preserve">pay equity for residential </w:t>
      </w:r>
      <w:proofErr w:type="gramStart"/>
      <w:r>
        <w:t>care</w:t>
      </w:r>
      <w:proofErr w:type="gramEnd"/>
    </w:p>
    <w:p w14:paraId="730DC2AC" w14:textId="77777777" w:rsidR="005F528B" w:rsidRDefault="005F528B" w:rsidP="005F528B">
      <w:pPr>
        <w:pStyle w:val="ListParagraph"/>
        <w:numPr>
          <w:ilvl w:val="0"/>
          <w:numId w:val="19"/>
        </w:numPr>
      </w:pPr>
      <w:r>
        <w:t>in-between travel.</w:t>
      </w:r>
    </w:p>
    <w:p w14:paraId="10112ECD" w14:textId="71F2245C" w:rsidR="005F528B" w:rsidRDefault="005F528B" w:rsidP="005F528B">
      <w:pPr>
        <w:sectPr w:rsidR="005F528B" w:rsidSect="00E5186C">
          <w:headerReference w:type="even" r:id="rId8"/>
          <w:headerReference w:type="default" r:id="rId9"/>
          <w:footerReference w:type="even" r:id="rId10"/>
          <w:headerReference w:type="first" r:id="rId11"/>
          <w:pgSz w:w="11906" w:h="16838"/>
          <w:pgMar w:top="1134" w:right="1361" w:bottom="1134" w:left="1361" w:header="709" w:footer="737" w:gutter="0"/>
          <w:pgNumType w:start="1"/>
          <w:cols w:space="708"/>
          <w:docGrid w:linePitch="360"/>
        </w:sectPr>
      </w:pPr>
      <w:r>
        <w:t>To support the sustainability of the disability system, NASCs and EGL sites are expected to manage all allocations carefully, regardless of where they are funded.</w:t>
      </w:r>
    </w:p>
    <w:p w14:paraId="13197EF0" w14:textId="18D3C68B" w:rsidR="00642B36" w:rsidRPr="00642B36" w:rsidRDefault="00642B36" w:rsidP="00E5186C">
      <w:pPr>
        <w:spacing w:after="0" w:line="240" w:lineRule="auto"/>
      </w:pPr>
    </w:p>
    <w:sectPr w:rsidR="00642B36" w:rsidRPr="00642B36" w:rsidSect="00E5186C">
      <w:pgSz w:w="11906" w:h="16838"/>
      <w:pgMar w:top="1440" w:right="1361" w:bottom="1134" w:left="1361" w:header="708"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A8DB" w14:textId="77777777" w:rsidR="00EB27CB" w:rsidRDefault="00EB27CB" w:rsidP="00B812CC">
      <w:r>
        <w:separator/>
      </w:r>
    </w:p>
    <w:p w14:paraId="087FD98A" w14:textId="77777777" w:rsidR="00EB27CB" w:rsidRDefault="00EB27CB" w:rsidP="00B812CC"/>
    <w:p w14:paraId="2BC93FE7" w14:textId="77777777" w:rsidR="00EB27CB" w:rsidRDefault="00EB27CB" w:rsidP="00B812CC"/>
    <w:p w14:paraId="62A5404E" w14:textId="77777777" w:rsidR="00EB27CB" w:rsidRDefault="00EB27CB" w:rsidP="00B812CC"/>
    <w:p w14:paraId="78A0E3CC" w14:textId="77777777" w:rsidR="00EB27CB" w:rsidRDefault="00EB27CB"/>
  </w:endnote>
  <w:endnote w:type="continuationSeparator" w:id="0">
    <w:p w14:paraId="4BFAF9D0" w14:textId="77777777" w:rsidR="00EB27CB" w:rsidRDefault="00EB27CB" w:rsidP="00B812CC">
      <w:r>
        <w:continuationSeparator/>
      </w:r>
    </w:p>
    <w:p w14:paraId="764E7BD2" w14:textId="77777777" w:rsidR="00EB27CB" w:rsidRDefault="00EB27CB" w:rsidP="00B812CC"/>
    <w:p w14:paraId="3BF130A2" w14:textId="77777777" w:rsidR="00EB27CB" w:rsidRDefault="00EB27CB" w:rsidP="00B812CC"/>
    <w:p w14:paraId="2EE38EBE" w14:textId="77777777" w:rsidR="00EB27CB" w:rsidRDefault="00EB27CB" w:rsidP="00B812CC"/>
    <w:p w14:paraId="6AE7EB55" w14:textId="77777777" w:rsidR="00EB27CB" w:rsidRDefault="00EB2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641E" w14:textId="341E4C64" w:rsidR="00DB01CC" w:rsidRPr="009E20F2" w:rsidRDefault="00541DA4" w:rsidP="00B812CC">
    <w:pPr>
      <w:pStyle w:val="Footer"/>
    </w:pPr>
    <w:r w:rsidRPr="009E20F2">
      <w:t xml:space="preserve">Page </w:t>
    </w:r>
    <w:r w:rsidRPr="009E20F2">
      <w:fldChar w:fldCharType="begin"/>
    </w:r>
    <w:r w:rsidRPr="009E20F2">
      <w:instrText xml:space="preserve"> PAGE   \* MERGEFORMAT </w:instrText>
    </w:r>
    <w:r w:rsidRPr="009E20F2">
      <w:fldChar w:fldCharType="separate"/>
    </w:r>
    <w:r w:rsidR="00B812CC">
      <w:rPr>
        <w:noProof/>
      </w:rPr>
      <w:t>2</w:t>
    </w:r>
    <w:r w:rsidRPr="009E20F2">
      <w:rPr>
        <w:noProof/>
      </w:rPr>
      <w:fldChar w:fldCharType="end"/>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B2FD" w14:textId="77777777" w:rsidR="00EB27CB" w:rsidRDefault="00EB27CB" w:rsidP="00B812CC">
      <w:r>
        <w:separator/>
      </w:r>
    </w:p>
    <w:p w14:paraId="5D6A71DE" w14:textId="77777777" w:rsidR="00EB27CB" w:rsidRDefault="00EB27CB" w:rsidP="00B812CC"/>
    <w:p w14:paraId="579F494F" w14:textId="77777777" w:rsidR="00EB27CB" w:rsidRDefault="00EB27CB" w:rsidP="00B812CC"/>
    <w:p w14:paraId="14CC389D" w14:textId="77777777" w:rsidR="00EB27CB" w:rsidRDefault="00EB27CB" w:rsidP="00B812CC"/>
    <w:p w14:paraId="79A49B80" w14:textId="77777777" w:rsidR="00EB27CB" w:rsidRDefault="00EB27CB"/>
  </w:footnote>
  <w:footnote w:type="continuationSeparator" w:id="0">
    <w:p w14:paraId="67F4EFC2" w14:textId="77777777" w:rsidR="00EB27CB" w:rsidRDefault="00EB27CB" w:rsidP="00B812CC">
      <w:r>
        <w:continuationSeparator/>
      </w:r>
    </w:p>
    <w:p w14:paraId="3A9EC83C" w14:textId="77777777" w:rsidR="00EB27CB" w:rsidRDefault="00EB27CB" w:rsidP="00B812CC"/>
    <w:p w14:paraId="787468B4" w14:textId="77777777" w:rsidR="00EB27CB" w:rsidRDefault="00EB27CB" w:rsidP="00B812CC"/>
    <w:p w14:paraId="24E1C976" w14:textId="77777777" w:rsidR="00EB27CB" w:rsidRDefault="00EB27CB" w:rsidP="00B812CC"/>
    <w:p w14:paraId="04FA8851" w14:textId="77777777" w:rsidR="00EB27CB" w:rsidRDefault="00EB2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6D2F" w14:textId="5803955D" w:rsidR="00643C1B" w:rsidRDefault="00643C1B">
    <w:pPr>
      <w:pStyle w:val="Header"/>
    </w:pPr>
    <w:r>
      <w:rPr>
        <w:noProof/>
      </w:rPr>
      <mc:AlternateContent>
        <mc:Choice Requires="wps">
          <w:drawing>
            <wp:anchor distT="0" distB="0" distL="0" distR="0" simplePos="0" relativeHeight="251662336" behindDoc="0" locked="0" layoutInCell="1" allowOverlap="1" wp14:anchorId="1C85E5AF" wp14:editId="48384A6A">
              <wp:simplePos x="914400" y="4572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C1FC7" w14:textId="2E1BE338"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85E5AF" id="_x0000_t202" coordsize="21600,21600" o:spt="202" path="m,l,21600r21600,l21600,xe">
              <v:stroke joinstyle="miter"/>
              <v:path gradientshapeok="t" o:connecttype="rect"/>
            </v:shapetype>
            <v:shape id="Text Box 7" o:spid="_x0000_s1026"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BC1FC7" w14:textId="2E1BE338"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A4C4" w14:textId="22D7CE12" w:rsidR="00643C1B" w:rsidRDefault="00E5186C">
    <w:pPr>
      <w:pStyle w:val="Header"/>
    </w:pPr>
    <w:r w:rsidRPr="00486F48">
      <w:rPr>
        <w:noProof/>
        <w:color w:val="FFFFFF" w:themeColor="background1"/>
        <w:szCs w:val="96"/>
      </w:rPr>
      <w:drawing>
        <wp:anchor distT="0" distB="0" distL="114300" distR="114300" simplePos="0" relativeHeight="251665408" behindDoc="1" locked="0" layoutInCell="1" allowOverlap="1" wp14:anchorId="4C094275" wp14:editId="4FAD076A">
          <wp:simplePos x="0" y="0"/>
          <wp:positionH relativeFrom="margin">
            <wp:posOffset>-997585</wp:posOffset>
          </wp:positionH>
          <wp:positionV relativeFrom="paragraph">
            <wp:posOffset>-450215</wp:posOffset>
          </wp:positionV>
          <wp:extent cx="7551042" cy="10678130"/>
          <wp:effectExtent l="0" t="0" r="0" b="9525"/>
          <wp:wrapNone/>
          <wp:docPr id="2491210" name="Picture 2491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43803" name="Picture 15694438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042" cy="106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C1B">
      <w:rPr>
        <w:noProof/>
      </w:rPr>
      <mc:AlternateContent>
        <mc:Choice Requires="wps">
          <w:drawing>
            <wp:anchor distT="0" distB="0" distL="0" distR="0" simplePos="0" relativeHeight="251663360" behindDoc="0" locked="0" layoutInCell="1" allowOverlap="1" wp14:anchorId="5212536A" wp14:editId="2FD9FCB3">
              <wp:simplePos x="914400" y="457200"/>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ABF3D" w14:textId="198775FB"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12536A" id="_x0000_t202" coordsize="21600,21600" o:spt="202" path="m,l,21600r21600,l21600,xe">
              <v:stroke joinstyle="miter"/>
              <v:path gradientshapeok="t" o:connecttype="rect"/>
            </v:shapetype>
            <v:shape id="Text Box 8" o:spid="_x0000_s1027"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7FABF3D" w14:textId="198775FB"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3469" w14:textId="52107F5D" w:rsidR="00643C1B" w:rsidRDefault="00E5186C">
    <w:pPr>
      <w:pStyle w:val="Header"/>
    </w:pPr>
    <w:r w:rsidRPr="00486F48">
      <w:rPr>
        <w:noProof/>
        <w:color w:val="FFFFFF" w:themeColor="background1"/>
        <w:szCs w:val="96"/>
      </w:rPr>
      <w:drawing>
        <wp:anchor distT="0" distB="0" distL="114300" distR="114300" simplePos="0" relativeHeight="251667456" behindDoc="1" locked="0" layoutInCell="1" allowOverlap="1" wp14:anchorId="17F3365D" wp14:editId="45461D00">
          <wp:simplePos x="0" y="0"/>
          <wp:positionH relativeFrom="margin">
            <wp:posOffset>-854710</wp:posOffset>
          </wp:positionH>
          <wp:positionV relativeFrom="paragraph">
            <wp:posOffset>-449580</wp:posOffset>
          </wp:positionV>
          <wp:extent cx="7551042" cy="10678130"/>
          <wp:effectExtent l="0" t="0" r="0" b="9525"/>
          <wp:wrapNone/>
          <wp:docPr id="167708482" name="Picture 1677084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86476" name="Picture 12653864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042" cy="106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C1B">
      <w:rPr>
        <w:noProof/>
      </w:rPr>
      <mc:AlternateContent>
        <mc:Choice Requires="wps">
          <w:drawing>
            <wp:anchor distT="0" distB="0" distL="0" distR="0" simplePos="0" relativeHeight="251661312" behindDoc="0" locked="0" layoutInCell="1" allowOverlap="1" wp14:anchorId="5475D790" wp14:editId="0BA295E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24199" w14:textId="1E2B8039"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5D790" id="_x0000_t202" coordsize="21600,21600" o:spt="202" path="m,l,21600r21600,l21600,xe">
              <v:stroke joinstyle="miter"/>
              <v:path gradientshapeok="t" o:connecttype="rect"/>
            </v:shapetype>
            <v:shape id="Text Box 4" o:spid="_x0000_s1028"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5D24199" w14:textId="1E2B8039"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12AAB3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1AAED50"/>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10D60A34"/>
    <w:multiLevelType w:val="hybridMultilevel"/>
    <w:tmpl w:val="A058D58C"/>
    <w:lvl w:ilvl="0" w:tplc="14090003">
      <w:start w:val="1"/>
      <w:numFmt w:val="bullet"/>
      <w:pStyle w:val="Bullet2"/>
      <w:lvlText w:val="o"/>
      <w:lvlJc w:val="left"/>
      <w:pPr>
        <w:tabs>
          <w:tab w:val="num" w:pos="797"/>
        </w:tabs>
        <w:ind w:left="797" w:hanging="360"/>
      </w:pPr>
      <w:rPr>
        <w:rFonts w:ascii="Courier New" w:hAnsi="Courier New" w:cs="Courier New" w:hint="default"/>
      </w:rPr>
    </w:lvl>
    <w:lvl w:ilvl="1" w:tplc="DB98F82E">
      <w:start w:val="1"/>
      <w:numFmt w:val="bullet"/>
      <w:pStyle w:val="Bullet3"/>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1FE2475A"/>
    <w:multiLevelType w:val="hybridMultilevel"/>
    <w:tmpl w:val="6248C8D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8517F1"/>
    <w:multiLevelType w:val="hybridMultilevel"/>
    <w:tmpl w:val="71F8C790"/>
    <w:lvl w:ilvl="0" w:tplc="5CBE4E8E">
      <w:start w:val="1"/>
      <w:numFmt w:val="bullet"/>
      <w:lvlText w:val="•"/>
      <w:lvlJc w:val="left"/>
      <w:pPr>
        <w:tabs>
          <w:tab w:val="num" w:pos="720"/>
        </w:tabs>
        <w:ind w:left="720" w:hanging="360"/>
      </w:pPr>
      <w:rPr>
        <w:rFonts w:ascii="Arial" w:hAnsi="Arial" w:hint="default"/>
      </w:rPr>
    </w:lvl>
    <w:lvl w:ilvl="1" w:tplc="1FEABD92">
      <w:numFmt w:val="bullet"/>
      <w:lvlText w:val="–"/>
      <w:lvlJc w:val="left"/>
      <w:pPr>
        <w:tabs>
          <w:tab w:val="num" w:pos="1440"/>
        </w:tabs>
        <w:ind w:left="1440" w:hanging="360"/>
      </w:pPr>
      <w:rPr>
        <w:rFonts w:ascii="Arial" w:hAnsi="Arial" w:hint="default"/>
      </w:rPr>
    </w:lvl>
    <w:lvl w:ilvl="2" w:tplc="36942D64" w:tentative="1">
      <w:start w:val="1"/>
      <w:numFmt w:val="bullet"/>
      <w:lvlText w:val="•"/>
      <w:lvlJc w:val="left"/>
      <w:pPr>
        <w:tabs>
          <w:tab w:val="num" w:pos="2160"/>
        </w:tabs>
        <w:ind w:left="2160" w:hanging="360"/>
      </w:pPr>
      <w:rPr>
        <w:rFonts w:ascii="Arial" w:hAnsi="Arial" w:hint="default"/>
      </w:rPr>
    </w:lvl>
    <w:lvl w:ilvl="3" w:tplc="D1FC33CE" w:tentative="1">
      <w:start w:val="1"/>
      <w:numFmt w:val="bullet"/>
      <w:lvlText w:val="•"/>
      <w:lvlJc w:val="left"/>
      <w:pPr>
        <w:tabs>
          <w:tab w:val="num" w:pos="2880"/>
        </w:tabs>
        <w:ind w:left="2880" w:hanging="360"/>
      </w:pPr>
      <w:rPr>
        <w:rFonts w:ascii="Arial" w:hAnsi="Arial" w:hint="default"/>
      </w:rPr>
    </w:lvl>
    <w:lvl w:ilvl="4" w:tplc="C53E5EA4" w:tentative="1">
      <w:start w:val="1"/>
      <w:numFmt w:val="bullet"/>
      <w:lvlText w:val="•"/>
      <w:lvlJc w:val="left"/>
      <w:pPr>
        <w:tabs>
          <w:tab w:val="num" w:pos="3600"/>
        </w:tabs>
        <w:ind w:left="3600" w:hanging="360"/>
      </w:pPr>
      <w:rPr>
        <w:rFonts w:ascii="Arial" w:hAnsi="Arial" w:hint="default"/>
      </w:rPr>
    </w:lvl>
    <w:lvl w:ilvl="5" w:tplc="0FC0BDD4" w:tentative="1">
      <w:start w:val="1"/>
      <w:numFmt w:val="bullet"/>
      <w:lvlText w:val="•"/>
      <w:lvlJc w:val="left"/>
      <w:pPr>
        <w:tabs>
          <w:tab w:val="num" w:pos="4320"/>
        </w:tabs>
        <w:ind w:left="4320" w:hanging="360"/>
      </w:pPr>
      <w:rPr>
        <w:rFonts w:ascii="Arial" w:hAnsi="Arial" w:hint="default"/>
      </w:rPr>
    </w:lvl>
    <w:lvl w:ilvl="6" w:tplc="040C7F86" w:tentative="1">
      <w:start w:val="1"/>
      <w:numFmt w:val="bullet"/>
      <w:lvlText w:val="•"/>
      <w:lvlJc w:val="left"/>
      <w:pPr>
        <w:tabs>
          <w:tab w:val="num" w:pos="5040"/>
        </w:tabs>
        <w:ind w:left="5040" w:hanging="360"/>
      </w:pPr>
      <w:rPr>
        <w:rFonts w:ascii="Arial" w:hAnsi="Arial" w:hint="default"/>
      </w:rPr>
    </w:lvl>
    <w:lvl w:ilvl="7" w:tplc="D08AF974" w:tentative="1">
      <w:start w:val="1"/>
      <w:numFmt w:val="bullet"/>
      <w:lvlText w:val="•"/>
      <w:lvlJc w:val="left"/>
      <w:pPr>
        <w:tabs>
          <w:tab w:val="num" w:pos="5760"/>
        </w:tabs>
        <w:ind w:left="5760" w:hanging="360"/>
      </w:pPr>
      <w:rPr>
        <w:rFonts w:ascii="Arial" w:hAnsi="Arial" w:hint="default"/>
      </w:rPr>
    </w:lvl>
    <w:lvl w:ilvl="8" w:tplc="8228C9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D7D7C"/>
    <w:multiLevelType w:val="hybridMultilevel"/>
    <w:tmpl w:val="A82C0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E023462"/>
    <w:multiLevelType w:val="hybridMultilevel"/>
    <w:tmpl w:val="AF96A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72848DC"/>
    <w:multiLevelType w:val="hybridMultilevel"/>
    <w:tmpl w:val="C798A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C192E5E"/>
    <w:multiLevelType w:val="hybridMultilevel"/>
    <w:tmpl w:val="1D7ECA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E0D1CC7"/>
    <w:multiLevelType w:val="multilevel"/>
    <w:tmpl w:val="62561004"/>
    <w:styleLink w:val="CurrentList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0038072">
    <w:abstractNumId w:val="7"/>
  </w:num>
  <w:num w:numId="2" w16cid:durableId="1091314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4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631104">
    <w:abstractNumId w:val="4"/>
  </w:num>
  <w:num w:numId="5" w16cid:durableId="42875152">
    <w:abstractNumId w:val="1"/>
  </w:num>
  <w:num w:numId="6" w16cid:durableId="988707013">
    <w:abstractNumId w:val="0"/>
  </w:num>
  <w:num w:numId="7" w16cid:durableId="185602780">
    <w:abstractNumId w:val="9"/>
  </w:num>
  <w:num w:numId="8" w16cid:durableId="147221568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06589">
    <w:abstractNumId w:val="1"/>
  </w:num>
  <w:num w:numId="10" w16cid:durableId="1535078731">
    <w:abstractNumId w:val="3"/>
  </w:num>
  <w:num w:numId="11" w16cid:durableId="645007926">
    <w:abstractNumId w:val="12"/>
  </w:num>
  <w:num w:numId="12" w16cid:durableId="1287853512">
    <w:abstractNumId w:val="2"/>
  </w:num>
  <w:num w:numId="13" w16cid:durableId="1105729138">
    <w:abstractNumId w:val="15"/>
  </w:num>
  <w:num w:numId="14" w16cid:durableId="778572090">
    <w:abstractNumId w:val="14"/>
  </w:num>
  <w:num w:numId="15" w16cid:durableId="1178303107">
    <w:abstractNumId w:val="6"/>
  </w:num>
  <w:num w:numId="16" w16cid:durableId="162012599">
    <w:abstractNumId w:val="5"/>
  </w:num>
  <w:num w:numId="17" w16cid:durableId="1284581250">
    <w:abstractNumId w:val="13"/>
  </w:num>
  <w:num w:numId="18" w16cid:durableId="96294235">
    <w:abstractNumId w:val="10"/>
  </w:num>
  <w:num w:numId="19" w16cid:durableId="1816414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CA"/>
    <w:rsid w:val="00000B4C"/>
    <w:rsid w:val="000052C1"/>
    <w:rsid w:val="000106D0"/>
    <w:rsid w:val="000130D7"/>
    <w:rsid w:val="00037CB0"/>
    <w:rsid w:val="0004240D"/>
    <w:rsid w:val="00046B29"/>
    <w:rsid w:val="00072106"/>
    <w:rsid w:val="000E3BB9"/>
    <w:rsid w:val="00106AED"/>
    <w:rsid w:val="001136D5"/>
    <w:rsid w:val="00121DA1"/>
    <w:rsid w:val="001308D6"/>
    <w:rsid w:val="00151526"/>
    <w:rsid w:val="00187357"/>
    <w:rsid w:val="001C74CA"/>
    <w:rsid w:val="001D1F28"/>
    <w:rsid w:val="001D3744"/>
    <w:rsid w:val="001D507A"/>
    <w:rsid w:val="001F084D"/>
    <w:rsid w:val="0020174E"/>
    <w:rsid w:val="00210B03"/>
    <w:rsid w:val="00213DA6"/>
    <w:rsid w:val="00216302"/>
    <w:rsid w:val="00216BA5"/>
    <w:rsid w:val="00226612"/>
    <w:rsid w:val="002304B5"/>
    <w:rsid w:val="00245A2B"/>
    <w:rsid w:val="00296B0F"/>
    <w:rsid w:val="002A4839"/>
    <w:rsid w:val="002B0645"/>
    <w:rsid w:val="002C5548"/>
    <w:rsid w:val="002D1C62"/>
    <w:rsid w:val="002E6786"/>
    <w:rsid w:val="00312697"/>
    <w:rsid w:val="00314DB1"/>
    <w:rsid w:val="00317D0D"/>
    <w:rsid w:val="003472DE"/>
    <w:rsid w:val="00354EC2"/>
    <w:rsid w:val="003808D9"/>
    <w:rsid w:val="00392AFE"/>
    <w:rsid w:val="003B4E71"/>
    <w:rsid w:val="003C3B31"/>
    <w:rsid w:val="003E3302"/>
    <w:rsid w:val="00414E8A"/>
    <w:rsid w:val="004227ED"/>
    <w:rsid w:val="00445BCE"/>
    <w:rsid w:val="00454F25"/>
    <w:rsid w:val="00474273"/>
    <w:rsid w:val="00486F48"/>
    <w:rsid w:val="004C0AC6"/>
    <w:rsid w:val="00533E65"/>
    <w:rsid w:val="00541DA4"/>
    <w:rsid w:val="0056681E"/>
    <w:rsid w:val="00570817"/>
    <w:rsid w:val="00572AA9"/>
    <w:rsid w:val="00573C0A"/>
    <w:rsid w:val="00584F02"/>
    <w:rsid w:val="00595906"/>
    <w:rsid w:val="005B11F9"/>
    <w:rsid w:val="005B1C12"/>
    <w:rsid w:val="005B3EB7"/>
    <w:rsid w:val="005C7E68"/>
    <w:rsid w:val="005E71D1"/>
    <w:rsid w:val="005F528B"/>
    <w:rsid w:val="006207F6"/>
    <w:rsid w:val="00631D73"/>
    <w:rsid w:val="0063448D"/>
    <w:rsid w:val="0063502A"/>
    <w:rsid w:val="00642B36"/>
    <w:rsid w:val="00643C1B"/>
    <w:rsid w:val="0066419D"/>
    <w:rsid w:val="006675CB"/>
    <w:rsid w:val="006A39FA"/>
    <w:rsid w:val="006C5072"/>
    <w:rsid w:val="006F3AB6"/>
    <w:rsid w:val="0070040B"/>
    <w:rsid w:val="00706C68"/>
    <w:rsid w:val="00710AC5"/>
    <w:rsid w:val="00733387"/>
    <w:rsid w:val="0075020F"/>
    <w:rsid w:val="007525AF"/>
    <w:rsid w:val="007814CC"/>
    <w:rsid w:val="007B201A"/>
    <w:rsid w:val="0080498F"/>
    <w:rsid w:val="00820BA6"/>
    <w:rsid w:val="00821A10"/>
    <w:rsid w:val="00827615"/>
    <w:rsid w:val="0085194C"/>
    <w:rsid w:val="00860654"/>
    <w:rsid w:val="0089060C"/>
    <w:rsid w:val="008C1671"/>
    <w:rsid w:val="008C4B1D"/>
    <w:rsid w:val="008E22FB"/>
    <w:rsid w:val="008F5E31"/>
    <w:rsid w:val="008F70CB"/>
    <w:rsid w:val="00903467"/>
    <w:rsid w:val="00906EAA"/>
    <w:rsid w:val="009551AD"/>
    <w:rsid w:val="00964FD8"/>
    <w:rsid w:val="00970DD2"/>
    <w:rsid w:val="00980756"/>
    <w:rsid w:val="00981737"/>
    <w:rsid w:val="00984549"/>
    <w:rsid w:val="009B7419"/>
    <w:rsid w:val="009C7FED"/>
    <w:rsid w:val="009D15F1"/>
    <w:rsid w:val="009D2B10"/>
    <w:rsid w:val="009E20F2"/>
    <w:rsid w:val="009E2D81"/>
    <w:rsid w:val="009E3D6F"/>
    <w:rsid w:val="009F3857"/>
    <w:rsid w:val="009F58BC"/>
    <w:rsid w:val="00A017E9"/>
    <w:rsid w:val="00A13189"/>
    <w:rsid w:val="00A16CAD"/>
    <w:rsid w:val="00A339FA"/>
    <w:rsid w:val="00A35350"/>
    <w:rsid w:val="00A37207"/>
    <w:rsid w:val="00A43896"/>
    <w:rsid w:val="00A53872"/>
    <w:rsid w:val="00A56424"/>
    <w:rsid w:val="00A6244E"/>
    <w:rsid w:val="00A95FE8"/>
    <w:rsid w:val="00A97F5D"/>
    <w:rsid w:val="00AD7ABD"/>
    <w:rsid w:val="00AE22A9"/>
    <w:rsid w:val="00AF4301"/>
    <w:rsid w:val="00B0242D"/>
    <w:rsid w:val="00B05301"/>
    <w:rsid w:val="00B06461"/>
    <w:rsid w:val="00B16010"/>
    <w:rsid w:val="00B3270D"/>
    <w:rsid w:val="00B41635"/>
    <w:rsid w:val="00B45531"/>
    <w:rsid w:val="00B50C3C"/>
    <w:rsid w:val="00B5357A"/>
    <w:rsid w:val="00B55614"/>
    <w:rsid w:val="00B70DC7"/>
    <w:rsid w:val="00B812CC"/>
    <w:rsid w:val="00BA1BB2"/>
    <w:rsid w:val="00BF6828"/>
    <w:rsid w:val="00BF7F79"/>
    <w:rsid w:val="00C13B53"/>
    <w:rsid w:val="00C22902"/>
    <w:rsid w:val="00C24EE2"/>
    <w:rsid w:val="00C32537"/>
    <w:rsid w:val="00C5215F"/>
    <w:rsid w:val="00C67C42"/>
    <w:rsid w:val="00C93D10"/>
    <w:rsid w:val="00C93F62"/>
    <w:rsid w:val="00CA2984"/>
    <w:rsid w:val="00CA2D82"/>
    <w:rsid w:val="00CA5164"/>
    <w:rsid w:val="00CB496C"/>
    <w:rsid w:val="00CB4A28"/>
    <w:rsid w:val="00CE0551"/>
    <w:rsid w:val="00CF09EA"/>
    <w:rsid w:val="00D21FBC"/>
    <w:rsid w:val="00D261EC"/>
    <w:rsid w:val="00D31036"/>
    <w:rsid w:val="00D320DE"/>
    <w:rsid w:val="00D34EA0"/>
    <w:rsid w:val="00D46FB9"/>
    <w:rsid w:val="00D716CE"/>
    <w:rsid w:val="00D8664E"/>
    <w:rsid w:val="00D96746"/>
    <w:rsid w:val="00D96D3A"/>
    <w:rsid w:val="00D96EC5"/>
    <w:rsid w:val="00DA1256"/>
    <w:rsid w:val="00DB01CC"/>
    <w:rsid w:val="00DC30ED"/>
    <w:rsid w:val="00DC7E96"/>
    <w:rsid w:val="00DD7526"/>
    <w:rsid w:val="00E06F0D"/>
    <w:rsid w:val="00E5186C"/>
    <w:rsid w:val="00E60F64"/>
    <w:rsid w:val="00E671C3"/>
    <w:rsid w:val="00E86180"/>
    <w:rsid w:val="00E90142"/>
    <w:rsid w:val="00E9269E"/>
    <w:rsid w:val="00EA75D0"/>
    <w:rsid w:val="00EB27CB"/>
    <w:rsid w:val="00EB2D7C"/>
    <w:rsid w:val="00EC2CE7"/>
    <w:rsid w:val="00ED3ACF"/>
    <w:rsid w:val="00F06EE8"/>
    <w:rsid w:val="00F07349"/>
    <w:rsid w:val="00F167CA"/>
    <w:rsid w:val="00F22AE5"/>
    <w:rsid w:val="00F926FD"/>
    <w:rsid w:val="00F92F6A"/>
    <w:rsid w:val="00F940E5"/>
    <w:rsid w:val="00FA02F2"/>
    <w:rsid w:val="00FF78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B44A"/>
  <w15:docId w15:val="{1F709B82-8FBE-504A-8005-597D7C7F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207"/>
    <w:pPr>
      <w:spacing w:after="120" w:line="288" w:lineRule="auto"/>
    </w:pPr>
    <w:rPr>
      <w:rFonts w:ascii="Roboto" w:hAnsi="Roboto" w:cs="Arial"/>
      <w:kern w:val="28"/>
      <w:sz w:val="24"/>
    </w:rPr>
  </w:style>
  <w:style w:type="paragraph" w:styleId="Heading1">
    <w:name w:val="heading 1"/>
    <w:basedOn w:val="Normal"/>
    <w:next w:val="Normal"/>
    <w:link w:val="Heading1Char"/>
    <w:uiPriority w:val="99"/>
    <w:qFormat/>
    <w:rsid w:val="00E5186C"/>
    <w:pPr>
      <w:keepNext/>
      <w:keepLines/>
      <w:spacing w:before="400" w:after="240"/>
      <w:outlineLvl w:val="0"/>
    </w:pPr>
    <w:rPr>
      <w:rFonts w:eastAsiaTheme="majorEastAsia"/>
      <w:b/>
      <w:bCs/>
      <w:color w:val="404040" w:themeColor="text1" w:themeTint="BF"/>
      <w:kern w:val="0"/>
      <w:sz w:val="72"/>
      <w:szCs w:val="28"/>
    </w:rPr>
  </w:style>
  <w:style w:type="paragraph" w:styleId="Heading2">
    <w:name w:val="heading 2"/>
    <w:basedOn w:val="Normal"/>
    <w:next w:val="Normal"/>
    <w:link w:val="Heading2Char"/>
    <w:uiPriority w:val="99"/>
    <w:qFormat/>
    <w:rsid w:val="00A37207"/>
    <w:pPr>
      <w:spacing w:before="240" w:after="240" w:line="240" w:lineRule="auto"/>
      <w:outlineLvl w:val="1"/>
    </w:pPr>
    <w:rPr>
      <w:b/>
      <w:color w:val="2C602F"/>
      <w:sz w:val="40"/>
      <w:szCs w:val="28"/>
    </w:rPr>
  </w:style>
  <w:style w:type="paragraph" w:styleId="Heading3">
    <w:name w:val="heading 3"/>
    <w:basedOn w:val="Normal"/>
    <w:next w:val="Normal"/>
    <w:link w:val="Heading3Char"/>
    <w:uiPriority w:val="99"/>
    <w:qFormat/>
    <w:rsid w:val="001136D5"/>
    <w:pPr>
      <w:keepNext/>
      <w:keepLines/>
      <w:spacing w:before="240"/>
      <w:outlineLvl w:val="2"/>
    </w:pPr>
    <w:rPr>
      <w:rFonts w:eastAsiaTheme="majorEastAsia"/>
      <w:b/>
      <w:bCs/>
      <w:color w:val="2C602F" w:themeColor="text2"/>
      <w:kern w:val="0"/>
      <w:sz w:val="36"/>
      <w:szCs w:val="24"/>
      <w:lang w:eastAsia="en-AU"/>
    </w:rPr>
  </w:style>
  <w:style w:type="paragraph" w:styleId="Heading4">
    <w:name w:val="heading 4"/>
    <w:basedOn w:val="Normal"/>
    <w:next w:val="Normal"/>
    <w:link w:val="Heading4Char"/>
    <w:uiPriority w:val="99"/>
    <w:qFormat/>
    <w:rsid w:val="001136D5"/>
    <w:pPr>
      <w:keepNext/>
      <w:keepLines/>
      <w:spacing w:before="240"/>
      <w:outlineLvl w:val="3"/>
    </w:pPr>
    <w:rPr>
      <w:rFonts w:eastAsiaTheme="majorEastAsia" w:cs="Times New Roman"/>
      <w:b/>
      <w:bCs/>
      <w:iCs/>
      <w:color w:val="2C602F" w:themeColor="text2"/>
      <w:kern w:val="0"/>
      <w:sz w:val="32"/>
    </w:rPr>
  </w:style>
  <w:style w:type="paragraph" w:styleId="Heading5">
    <w:name w:val="heading 5"/>
    <w:basedOn w:val="Normal"/>
    <w:next w:val="Normal"/>
    <w:link w:val="Heading5Char"/>
    <w:uiPriority w:val="9"/>
    <w:unhideWhenUsed/>
    <w:rsid w:val="001136D5"/>
    <w:pPr>
      <w:keepNext/>
      <w:keepLines/>
      <w:spacing w:before="200"/>
      <w:outlineLvl w:val="4"/>
    </w:pPr>
    <w:rPr>
      <w:rFonts w:eastAsiaTheme="majorEastAsia" w:cstheme="majorBidi"/>
      <w:b/>
      <w:color w:val="2C602F" w:themeColor="text2"/>
      <w:sz w:val="28"/>
    </w:rPr>
  </w:style>
  <w:style w:type="paragraph" w:styleId="Heading6">
    <w:name w:val="heading 6"/>
    <w:basedOn w:val="Normal"/>
    <w:next w:val="Normal"/>
    <w:link w:val="Heading6Char"/>
    <w:uiPriority w:val="9"/>
    <w:unhideWhenUsed/>
    <w:locked/>
    <w:rsid w:val="001136D5"/>
    <w:pPr>
      <w:keepNext/>
      <w:keepLines/>
      <w:spacing w:before="40" w:after="0"/>
      <w:outlineLvl w:val="5"/>
    </w:pPr>
    <w:rPr>
      <w:rFonts w:eastAsiaTheme="majorEastAsia" w:cstheme="majorBidi"/>
      <w:b/>
      <w:color w:val="2C602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186C"/>
    <w:rPr>
      <w:rFonts w:ascii="Roboto" w:eastAsiaTheme="majorEastAsia" w:hAnsi="Roboto" w:cs="Arial"/>
      <w:b/>
      <w:bCs/>
      <w:color w:val="404040" w:themeColor="text1" w:themeTint="BF"/>
      <w:sz w:val="72"/>
      <w:szCs w:val="28"/>
    </w:rPr>
  </w:style>
  <w:style w:type="character" w:customStyle="1" w:styleId="Heading2Char">
    <w:name w:val="Heading 2 Char"/>
    <w:basedOn w:val="DefaultParagraphFont"/>
    <w:link w:val="Heading2"/>
    <w:uiPriority w:val="99"/>
    <w:rsid w:val="00A37207"/>
    <w:rPr>
      <w:rFonts w:ascii="Roboto" w:hAnsi="Roboto" w:cs="Arial"/>
      <w:b/>
      <w:color w:val="2C602F"/>
      <w:kern w:val="28"/>
      <w:sz w:val="40"/>
      <w:szCs w:val="28"/>
    </w:rPr>
  </w:style>
  <w:style w:type="character" w:customStyle="1" w:styleId="Heading3Char">
    <w:name w:val="Heading 3 Char"/>
    <w:basedOn w:val="DefaultParagraphFont"/>
    <w:link w:val="Heading3"/>
    <w:uiPriority w:val="99"/>
    <w:rsid w:val="001136D5"/>
    <w:rPr>
      <w:rFonts w:ascii="Roboto" w:eastAsiaTheme="majorEastAsia" w:hAnsi="Roboto" w:cs="Arial"/>
      <w:b/>
      <w:bCs/>
      <w:color w:val="2C602F" w:themeColor="text2"/>
      <w:sz w:val="36"/>
      <w:szCs w:val="24"/>
      <w:lang w:eastAsia="en-AU"/>
    </w:rPr>
  </w:style>
  <w:style w:type="character" w:customStyle="1" w:styleId="Heading4Char">
    <w:name w:val="Heading 4 Char"/>
    <w:basedOn w:val="DefaultParagraphFont"/>
    <w:link w:val="Heading4"/>
    <w:uiPriority w:val="99"/>
    <w:rsid w:val="001136D5"/>
    <w:rPr>
      <w:rFonts w:ascii="Roboto" w:eastAsiaTheme="majorEastAsia" w:hAnsi="Roboto"/>
      <w:b/>
      <w:bCs/>
      <w:iCs/>
      <w:color w:val="2C602F" w:themeColor="text2"/>
      <w:sz w:val="3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940E5"/>
    <w:pPr>
      <w:numPr>
        <w:numId w:val="4"/>
      </w:numPr>
      <w:spacing w:before="60"/>
      <w:ind w:left="454" w:hanging="454"/>
    </w:pPr>
  </w:style>
  <w:style w:type="paragraph" w:styleId="List2">
    <w:name w:val="List 2"/>
    <w:basedOn w:val="Normal"/>
    <w:uiPriority w:val="99"/>
    <w:rsid w:val="00F940E5"/>
    <w:pPr>
      <w:numPr>
        <w:ilvl w:val="1"/>
        <w:numId w:val="4"/>
      </w:numPr>
      <w:spacing w:before="60"/>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character" w:styleId="SubtleEmphasis">
    <w:name w:val="Subtle Emphasis"/>
    <w:basedOn w:val="DefaultParagraphFont"/>
    <w:uiPriority w:val="99"/>
    <w:rsid w:val="00F940E5"/>
    <w:rPr>
      <w:rFonts w:ascii="Verdana Pro Semibold" w:hAnsi="Verdana Pro Semibold" w:cs="Times New Roman"/>
      <w:b w:val="0"/>
      <w:i w:val="0"/>
      <w:iCs/>
      <w:color w:val="auto"/>
      <w:sz w:val="20"/>
    </w:rPr>
  </w:style>
  <w:style w:type="paragraph" w:customStyle="1" w:styleId="Bullet1">
    <w:name w:val="Bullet1"/>
    <w:basedOn w:val="Normal"/>
    <w:autoRedefine/>
    <w:qFormat/>
    <w:rsid w:val="00820BA6"/>
    <w:pPr>
      <w:numPr>
        <w:numId w:val="9"/>
      </w:numPr>
      <w:tabs>
        <w:tab w:val="clear" w:pos="360"/>
      </w:tabs>
      <w:suppressAutoHyphens/>
      <w:autoSpaceDE w:val="0"/>
      <w:autoSpaceDN w:val="0"/>
      <w:adjustRightInd w:val="0"/>
      <w:spacing w:before="60" w:after="0"/>
      <w:ind w:left="284" w:hanging="284"/>
      <w:jc w:val="both"/>
      <w:textAlignment w:val="center"/>
    </w:pPr>
    <w:rPr>
      <w:rFonts w:eastAsia="Times New Roman"/>
      <w:color w:val="000000" w:themeColor="text1"/>
      <w:lang w:eastAsia="en-AU"/>
    </w:rPr>
  </w:style>
  <w:style w:type="paragraph" w:customStyle="1" w:styleId="Bullet2">
    <w:name w:val="Bullet2"/>
    <w:link w:val="Bullet2Char"/>
    <w:qFormat/>
    <w:rsid w:val="00984549"/>
    <w:pPr>
      <w:numPr>
        <w:numId w:val="12"/>
      </w:numPr>
      <w:spacing w:before="60" w:after="120" w:line="288" w:lineRule="auto"/>
    </w:pPr>
    <w:rPr>
      <w:rFonts w:ascii="Verdana" w:eastAsia="Times New Roman" w:hAnsi="Verdana"/>
      <w:sz w:val="22"/>
      <w:lang w:eastAsia="en-AU"/>
    </w:rPr>
  </w:style>
  <w:style w:type="character" w:customStyle="1" w:styleId="Heading5Char">
    <w:name w:val="Heading 5 Char"/>
    <w:basedOn w:val="DefaultParagraphFont"/>
    <w:link w:val="Heading5"/>
    <w:uiPriority w:val="9"/>
    <w:rsid w:val="001136D5"/>
    <w:rPr>
      <w:rFonts w:ascii="Roboto" w:eastAsiaTheme="majorEastAsia" w:hAnsi="Roboto" w:cstheme="majorBidi"/>
      <w:b/>
      <w:color w:val="2C602F" w:themeColor="text2"/>
      <w:kern w:val="28"/>
      <w:sz w:val="28"/>
    </w:rPr>
  </w:style>
  <w:style w:type="character" w:styleId="Strong">
    <w:name w:val="Strong"/>
    <w:basedOn w:val="DefaultParagraphFont"/>
    <w:uiPriority w:val="22"/>
    <w:rsid w:val="00F940E5"/>
    <w:rPr>
      <w:rFonts w:ascii="Verdana" w:hAnsi="Verdana"/>
      <w:b/>
      <w:bCs/>
    </w:rPr>
  </w:style>
  <w:style w:type="paragraph" w:styleId="TOCHeading">
    <w:name w:val="TOC Heading"/>
    <w:basedOn w:val="Heading1"/>
    <w:next w:val="Normal"/>
    <w:uiPriority w:val="39"/>
    <w:unhideWhenUsed/>
    <w:qFormat/>
    <w:rsid w:val="00A017E9"/>
    <w:pPr>
      <w:spacing w:before="480" w:line="276" w:lineRule="auto"/>
      <w:outlineLvl w:val="9"/>
    </w:pPr>
    <w:rPr>
      <w:rFonts w:cstheme="majorBidi"/>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9674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85194C"/>
    <w:pPr>
      <w:spacing w:after="100"/>
      <w:ind w:left="220"/>
    </w:pPr>
  </w:style>
  <w:style w:type="paragraph" w:styleId="Caption">
    <w:name w:val="caption"/>
    <w:basedOn w:val="Normal"/>
    <w:next w:val="Normal"/>
    <w:uiPriority w:val="35"/>
    <w:unhideWhenUsed/>
    <w:qFormat/>
    <w:locked/>
    <w:rsid w:val="00A37207"/>
    <w:pPr>
      <w:spacing w:after="200" w:line="240" w:lineRule="auto"/>
    </w:pPr>
    <w:rPr>
      <w:b/>
      <w:bCs/>
      <w:color w:val="2C602F"/>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basedOn w:val="Normal"/>
    <w:qFormat/>
    <w:rsid w:val="00A017E9"/>
    <w:pPr>
      <w:spacing w:before="6960" w:after="0" w:line="960" w:lineRule="exact"/>
      <w:ind w:right="-1440"/>
    </w:pPr>
    <w:rPr>
      <w:rFonts w:ascii="Verdana Pro Semibold" w:hAnsi="Verdana Pro Semibold"/>
      <w:noProof/>
      <w:color w:val="FFFFFF" w:themeColor="background1"/>
      <w:sz w:val="96"/>
      <w:lang w:eastAsia="en-NZ"/>
    </w:rPr>
  </w:style>
  <w:style w:type="paragraph" w:customStyle="1" w:styleId="Report2">
    <w:name w:val="Report2"/>
    <w:qFormat/>
    <w:rsid w:val="00A017E9"/>
    <w:pPr>
      <w:spacing w:before="240"/>
    </w:pPr>
    <w:rPr>
      <w:rFonts w:ascii="Verdana Pro Semibold" w:hAnsi="Verdana Pro Semibold" w:cs="Arial"/>
      <w:color w:val="FFFFFF" w:themeColor="background1"/>
      <w:kern w:val="28"/>
      <w:sz w:val="40"/>
      <w:szCs w:val="40"/>
      <w:lang w:val="en-US"/>
    </w:rPr>
  </w:style>
  <w:style w:type="paragraph" w:customStyle="1" w:styleId="Info1">
    <w:name w:val="Info1"/>
    <w:basedOn w:val="Normal"/>
    <w:qFormat/>
    <w:rsid w:val="00F940E5"/>
    <w:pPr>
      <w:spacing w:before="9000"/>
    </w:pPr>
    <w:rPr>
      <w:rFonts w:ascii="Verdana Pro Semibold" w:hAnsi="Verdana Pro Semibold"/>
    </w:rPr>
  </w:style>
  <w:style w:type="paragraph" w:customStyle="1" w:styleId="InfoBody">
    <w:name w:val="Info Body"/>
    <w:basedOn w:val="Normal"/>
    <w:qFormat/>
    <w:rsid w:val="00F940E5"/>
    <w:pPr>
      <w:spacing w:before="60"/>
    </w:pPr>
  </w:style>
  <w:style w:type="paragraph" w:customStyle="1" w:styleId="Info2">
    <w:name w:val="Info2"/>
    <w:basedOn w:val="Normal"/>
    <w:qFormat/>
    <w:rsid w:val="00A017E9"/>
    <w:rPr>
      <w:rFonts w:ascii="Verdana Pro Semibold" w:hAnsi="Verdana Pro Semibold"/>
    </w:rPr>
  </w:style>
  <w:style w:type="numbering" w:customStyle="1" w:styleId="CurrentList1">
    <w:name w:val="Current List1"/>
    <w:uiPriority w:val="99"/>
    <w:rsid w:val="00A017E9"/>
    <w:pPr>
      <w:numPr>
        <w:numId w:val="13"/>
      </w:numPr>
    </w:pPr>
  </w:style>
  <w:style w:type="paragraph" w:styleId="Quote">
    <w:name w:val="Quote"/>
    <w:basedOn w:val="Normal"/>
    <w:next w:val="Normal"/>
    <w:link w:val="QuoteChar"/>
    <w:uiPriority w:val="29"/>
    <w:qFormat/>
    <w:rsid w:val="00D46FB9"/>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D46FB9"/>
    <w:rPr>
      <w:rFonts w:ascii="Verdana" w:hAnsi="Verdana" w:cs="Arial"/>
      <w:iCs/>
      <w:color w:val="404040" w:themeColor="text1" w:themeTint="BF"/>
      <w:kern w:val="28"/>
      <w:sz w:val="22"/>
    </w:rPr>
  </w:style>
  <w:style w:type="character" w:customStyle="1" w:styleId="Heading6Char">
    <w:name w:val="Heading 6 Char"/>
    <w:basedOn w:val="DefaultParagraphFont"/>
    <w:link w:val="Heading6"/>
    <w:uiPriority w:val="9"/>
    <w:rsid w:val="001136D5"/>
    <w:rPr>
      <w:rFonts w:ascii="Roboto" w:eastAsiaTheme="majorEastAsia" w:hAnsi="Roboto" w:cstheme="majorBidi"/>
      <w:b/>
      <w:color w:val="2C602F" w:themeColor="text2"/>
      <w:kern w:val="28"/>
      <w:sz w:val="24"/>
    </w:rPr>
  </w:style>
  <w:style w:type="character" w:styleId="UnresolvedMention">
    <w:name w:val="Unresolved Mention"/>
    <w:basedOn w:val="DefaultParagraphFont"/>
    <w:uiPriority w:val="99"/>
    <w:semiHidden/>
    <w:unhideWhenUsed/>
    <w:rsid w:val="00E86180"/>
    <w:rPr>
      <w:color w:val="605E5C"/>
      <w:shd w:val="clear" w:color="auto" w:fill="E1DFDD"/>
    </w:rPr>
  </w:style>
  <w:style w:type="paragraph" w:customStyle="1" w:styleId="Bullet3">
    <w:name w:val="Bullet 3"/>
    <w:basedOn w:val="Bullet2"/>
    <w:link w:val="Bullet3Char"/>
    <w:qFormat/>
    <w:rsid w:val="00A339FA"/>
    <w:pPr>
      <w:numPr>
        <w:ilvl w:val="1"/>
      </w:numPr>
    </w:pPr>
    <w:rPr>
      <w:szCs w:val="22"/>
    </w:rPr>
  </w:style>
  <w:style w:type="character" w:customStyle="1" w:styleId="Bullet2Char">
    <w:name w:val="Bullet2 Char"/>
    <w:basedOn w:val="DefaultParagraphFont"/>
    <w:link w:val="Bullet2"/>
    <w:rsid w:val="00A339FA"/>
    <w:rPr>
      <w:rFonts w:ascii="Verdana" w:eastAsia="Times New Roman" w:hAnsi="Verdana"/>
      <w:sz w:val="22"/>
      <w:lang w:eastAsia="en-AU"/>
    </w:rPr>
  </w:style>
  <w:style w:type="character" w:customStyle="1" w:styleId="Bullet3Char">
    <w:name w:val="Bullet 3 Char"/>
    <w:basedOn w:val="Bullet2Char"/>
    <w:link w:val="Bullet3"/>
    <w:rsid w:val="00A339FA"/>
    <w:rPr>
      <w:rFonts w:ascii="Verdana" w:eastAsia="Times New Roman" w:hAnsi="Verdana"/>
      <w:sz w:val="22"/>
      <w:szCs w:val="22"/>
      <w:lang w:eastAsia="en-AU"/>
    </w:rPr>
  </w:style>
  <w:style w:type="paragraph" w:styleId="Revision">
    <w:name w:val="Revision"/>
    <w:hidden/>
    <w:uiPriority w:val="99"/>
    <w:semiHidden/>
    <w:rsid w:val="009F58BC"/>
    <w:rPr>
      <w:rFonts w:ascii="Verdana" w:hAnsi="Verdana" w:cs="Arial"/>
      <w:kern w:val="28"/>
      <w:sz w:val="22"/>
    </w:rPr>
  </w:style>
  <w:style w:type="character" w:styleId="CommentReference">
    <w:name w:val="annotation reference"/>
    <w:basedOn w:val="DefaultParagraphFont"/>
    <w:uiPriority w:val="99"/>
    <w:semiHidden/>
    <w:unhideWhenUsed/>
    <w:rsid w:val="0063448D"/>
    <w:rPr>
      <w:sz w:val="16"/>
      <w:szCs w:val="16"/>
    </w:rPr>
  </w:style>
  <w:style w:type="paragraph" w:styleId="CommentText">
    <w:name w:val="annotation text"/>
    <w:basedOn w:val="Normal"/>
    <w:link w:val="CommentTextChar"/>
    <w:uiPriority w:val="99"/>
    <w:unhideWhenUsed/>
    <w:rsid w:val="0063448D"/>
    <w:pPr>
      <w:spacing w:line="240" w:lineRule="auto"/>
    </w:pPr>
    <w:rPr>
      <w:sz w:val="20"/>
    </w:rPr>
  </w:style>
  <w:style w:type="character" w:customStyle="1" w:styleId="CommentTextChar">
    <w:name w:val="Comment Text Char"/>
    <w:basedOn w:val="DefaultParagraphFont"/>
    <w:link w:val="CommentText"/>
    <w:uiPriority w:val="99"/>
    <w:rsid w:val="0063448D"/>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63448D"/>
    <w:rPr>
      <w:b/>
      <w:bCs/>
    </w:rPr>
  </w:style>
  <w:style w:type="character" w:customStyle="1" w:styleId="CommentSubjectChar">
    <w:name w:val="Comment Subject Char"/>
    <w:basedOn w:val="CommentTextChar"/>
    <w:link w:val="CommentSubject"/>
    <w:uiPriority w:val="99"/>
    <w:semiHidden/>
    <w:rsid w:val="0063448D"/>
    <w:rPr>
      <w:rFonts w:ascii="Verdana" w:hAnsi="Verdana" w:cs="Arial"/>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3893">
      <w:bodyDiv w:val="1"/>
      <w:marLeft w:val="0"/>
      <w:marRight w:val="0"/>
      <w:marTop w:val="0"/>
      <w:marBottom w:val="0"/>
      <w:divBdr>
        <w:top w:val="none" w:sz="0" w:space="0" w:color="auto"/>
        <w:left w:val="none" w:sz="0" w:space="0" w:color="auto"/>
        <w:bottom w:val="none" w:sz="0" w:space="0" w:color="auto"/>
        <w:right w:val="none" w:sz="0" w:space="0" w:color="auto"/>
      </w:divBdr>
    </w:div>
    <w:div w:id="977882448">
      <w:bodyDiv w:val="1"/>
      <w:marLeft w:val="0"/>
      <w:marRight w:val="0"/>
      <w:marTop w:val="0"/>
      <w:marBottom w:val="0"/>
      <w:divBdr>
        <w:top w:val="none" w:sz="0" w:space="0" w:color="auto"/>
        <w:left w:val="none" w:sz="0" w:space="0" w:color="auto"/>
        <w:bottom w:val="none" w:sz="0" w:space="0" w:color="auto"/>
        <w:right w:val="none" w:sz="0" w:space="0" w:color="auto"/>
      </w:divBdr>
    </w:div>
    <w:div w:id="1749690488">
      <w:bodyDiv w:val="1"/>
      <w:marLeft w:val="0"/>
      <w:marRight w:val="0"/>
      <w:marTop w:val="0"/>
      <w:marBottom w:val="0"/>
      <w:divBdr>
        <w:top w:val="none" w:sz="0" w:space="0" w:color="auto"/>
        <w:left w:val="none" w:sz="0" w:space="0" w:color="auto"/>
        <w:bottom w:val="none" w:sz="0" w:space="0" w:color="auto"/>
        <w:right w:val="none" w:sz="0" w:space="0" w:color="auto"/>
      </w:divBdr>
    </w:div>
    <w:div w:id="2073573137">
      <w:bodyDiv w:val="1"/>
      <w:marLeft w:val="0"/>
      <w:marRight w:val="0"/>
      <w:marTop w:val="0"/>
      <w:marBottom w:val="0"/>
      <w:divBdr>
        <w:top w:val="none" w:sz="0" w:space="0" w:color="auto"/>
        <w:left w:val="none" w:sz="0" w:space="0" w:color="auto"/>
        <w:bottom w:val="none" w:sz="0" w:space="0" w:color="auto"/>
        <w:right w:val="none" w:sz="0" w:space="0" w:color="auto"/>
      </w:divBdr>
      <w:divsChild>
        <w:div w:id="202594725">
          <w:marLeft w:val="547"/>
          <w:marRight w:val="0"/>
          <w:marTop w:val="82"/>
          <w:marBottom w:val="0"/>
          <w:divBdr>
            <w:top w:val="none" w:sz="0" w:space="0" w:color="auto"/>
            <w:left w:val="none" w:sz="0" w:space="0" w:color="auto"/>
            <w:bottom w:val="none" w:sz="0" w:space="0" w:color="auto"/>
            <w:right w:val="none" w:sz="0" w:space="0" w:color="auto"/>
          </w:divBdr>
        </w:div>
        <w:div w:id="2006008374">
          <w:marLeft w:val="547"/>
          <w:marRight w:val="0"/>
          <w:marTop w:val="82"/>
          <w:marBottom w:val="0"/>
          <w:divBdr>
            <w:top w:val="none" w:sz="0" w:space="0" w:color="auto"/>
            <w:left w:val="none" w:sz="0" w:space="0" w:color="auto"/>
            <w:bottom w:val="none" w:sz="0" w:space="0" w:color="auto"/>
            <w:right w:val="none" w:sz="0" w:space="0" w:color="auto"/>
          </w:divBdr>
        </w:div>
        <w:div w:id="416831450">
          <w:marLeft w:val="547"/>
          <w:marRight w:val="0"/>
          <w:marTop w:val="82"/>
          <w:marBottom w:val="0"/>
          <w:divBdr>
            <w:top w:val="none" w:sz="0" w:space="0" w:color="auto"/>
            <w:left w:val="none" w:sz="0" w:space="0" w:color="auto"/>
            <w:bottom w:val="none" w:sz="0" w:space="0" w:color="auto"/>
            <w:right w:val="none" w:sz="0" w:space="0" w:color="auto"/>
          </w:divBdr>
        </w:div>
        <w:div w:id="1016882350">
          <w:marLeft w:val="547"/>
          <w:marRight w:val="0"/>
          <w:marTop w:val="82"/>
          <w:marBottom w:val="0"/>
          <w:divBdr>
            <w:top w:val="none" w:sz="0" w:space="0" w:color="auto"/>
            <w:left w:val="none" w:sz="0" w:space="0" w:color="auto"/>
            <w:bottom w:val="none" w:sz="0" w:space="0" w:color="auto"/>
            <w:right w:val="none" w:sz="0" w:space="0" w:color="auto"/>
          </w:divBdr>
        </w:div>
        <w:div w:id="491720717">
          <w:marLeft w:val="1166"/>
          <w:marRight w:val="0"/>
          <w:marTop w:val="82"/>
          <w:marBottom w:val="0"/>
          <w:divBdr>
            <w:top w:val="none" w:sz="0" w:space="0" w:color="auto"/>
            <w:left w:val="none" w:sz="0" w:space="0" w:color="auto"/>
            <w:bottom w:val="none" w:sz="0" w:space="0" w:color="auto"/>
            <w:right w:val="none" w:sz="0" w:space="0" w:color="auto"/>
          </w:divBdr>
        </w:div>
        <w:div w:id="1974167421">
          <w:marLeft w:val="1166"/>
          <w:marRight w:val="0"/>
          <w:marTop w:val="82"/>
          <w:marBottom w:val="0"/>
          <w:divBdr>
            <w:top w:val="none" w:sz="0" w:space="0" w:color="auto"/>
            <w:left w:val="none" w:sz="0" w:space="0" w:color="auto"/>
            <w:bottom w:val="none" w:sz="0" w:space="0" w:color="auto"/>
            <w:right w:val="none" w:sz="0" w:space="0" w:color="auto"/>
          </w:divBdr>
        </w:div>
        <w:div w:id="1522932206">
          <w:marLeft w:val="1166"/>
          <w:marRight w:val="0"/>
          <w:marTop w:val="82"/>
          <w:marBottom w:val="0"/>
          <w:divBdr>
            <w:top w:val="none" w:sz="0" w:space="0" w:color="auto"/>
            <w:left w:val="none" w:sz="0" w:space="0" w:color="auto"/>
            <w:bottom w:val="none" w:sz="0" w:space="0" w:color="auto"/>
            <w:right w:val="none" w:sz="0" w:space="0" w:color="auto"/>
          </w:divBdr>
        </w:div>
        <w:div w:id="1969966085">
          <w:marLeft w:val="547"/>
          <w:marRight w:val="0"/>
          <w:marTop w:val="82"/>
          <w:marBottom w:val="0"/>
          <w:divBdr>
            <w:top w:val="none" w:sz="0" w:space="0" w:color="auto"/>
            <w:left w:val="none" w:sz="0" w:space="0" w:color="auto"/>
            <w:bottom w:val="none" w:sz="0" w:space="0" w:color="auto"/>
            <w:right w:val="none" w:sz="0" w:space="0" w:color="auto"/>
          </w:divBdr>
        </w:div>
        <w:div w:id="531959789">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olours">
      <a:dk1>
        <a:sysClr val="windowText" lastClr="000000"/>
      </a:dk1>
      <a:lt1>
        <a:sysClr val="window" lastClr="FFFFFF"/>
      </a:lt1>
      <a:dk2>
        <a:srgbClr val="2C602F"/>
      </a:dk2>
      <a:lt2>
        <a:srgbClr val="D4F2B6"/>
      </a:lt2>
      <a:accent1>
        <a:srgbClr val="5C9A42"/>
      </a:accent1>
      <a:accent2>
        <a:srgbClr val="BD982F"/>
      </a:accent2>
      <a:accent3>
        <a:srgbClr val="327D92"/>
      </a:accent3>
      <a:accent4>
        <a:srgbClr val="594512"/>
      </a:accent4>
      <a:accent5>
        <a:srgbClr val="1F5B99"/>
      </a:accent5>
      <a:accent6>
        <a:srgbClr val="F9D8D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B222-E30E-4F56-A920-A5E34D2E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416</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Report template No photo Unity Pattern Purple</vt:lpstr>
    </vt:vector>
  </TitlesOfParts>
  <Company>Ministry of Social Development</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No photo Unity Pattern Purple</dc:title>
  <dc:creator>Ministry of Social Development</dc:creator>
  <cp:lastModifiedBy>Thomas Judd</cp:lastModifiedBy>
  <cp:revision>2</cp:revision>
  <cp:lastPrinted>2024-06-25T02:15:00Z</cp:lastPrinted>
  <dcterms:created xsi:type="dcterms:W3CDTF">2024-10-22T02:33:00Z</dcterms:created>
  <dcterms:modified xsi:type="dcterms:W3CDTF">2024-10-22T02:33:00Z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2024-04-12T01:56:27Z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c89af073-37ee-47ae-9c14-012bdc44e002</vt:lpwstr>
  </property>
  <property fmtid="{D5CDD505-2E9C-101B-9397-08002B2CF9AE}" pid="11" name="MSIP_Label_f43e46a9-9901-46e9-bfae-bb6189d4cb66_ContentBits">
    <vt:lpwstr>1</vt:lpwstr>
  </property>
</Properties>
</file>