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45957" w14:textId="45D2697B" w:rsidR="00E5186C" w:rsidRPr="002E74CD" w:rsidRDefault="00E5186C" w:rsidP="00E5186C">
      <w:pPr>
        <w:pStyle w:val="Heading1"/>
        <w:spacing w:before="0"/>
        <w:rPr>
          <w:rFonts w:eastAsia="Verdana"/>
        </w:rPr>
      </w:pPr>
      <w:bookmarkStart w:id="0" w:name="_Toc176958213"/>
      <w:bookmarkStart w:id="1" w:name="_Hlk176956812"/>
      <w:r w:rsidRPr="002E74CD">
        <w:softHyphen/>
      </w:r>
      <w:r w:rsidRPr="002E74CD">
        <w:softHyphen/>
      </w:r>
      <w:bookmarkStart w:id="2" w:name="_Toc386619898"/>
      <w:bookmarkStart w:id="3" w:name="_Toc402433422"/>
      <w:bookmarkEnd w:id="0"/>
      <w:bookmarkEnd w:id="1"/>
      <w:r w:rsidR="005F528B" w:rsidRPr="002E74CD">
        <w:t>Fact sheet:</w:t>
      </w:r>
    </w:p>
    <w:bookmarkEnd w:id="2"/>
    <w:bookmarkEnd w:id="3"/>
    <w:p w14:paraId="6DB3160C" w14:textId="6AAC03C5" w:rsidR="002E74CD" w:rsidRPr="002E74CD" w:rsidRDefault="000C5C9B" w:rsidP="002E74CD">
      <w:pPr>
        <w:pStyle w:val="Heading5"/>
        <w:shd w:val="clear" w:color="auto" w:fill="FCFCFC"/>
        <w:rPr>
          <w:rFonts w:cs="Noto Sans"/>
          <w:color w:val="222222"/>
          <w:kern w:val="0"/>
          <w:sz w:val="24"/>
          <w:szCs w:val="24"/>
        </w:rPr>
      </w:pPr>
      <w:r w:rsidRPr="00660900">
        <w:rPr>
          <w:sz w:val="48"/>
          <w:szCs w:val="36"/>
        </w:rPr>
        <w:t>Recommendations 1-7</w:t>
      </w:r>
      <w:r w:rsidR="00C145DD" w:rsidRPr="002E74CD">
        <w:rPr>
          <w:sz w:val="52"/>
          <w:szCs w:val="40"/>
        </w:rPr>
        <w:br/>
      </w:r>
      <w:r w:rsidR="002E74CD" w:rsidRPr="002E74CD">
        <w:rPr>
          <w:rFonts w:cs="Noto Sans"/>
          <w:color w:val="222222"/>
          <w:sz w:val="24"/>
          <w:szCs w:val="24"/>
        </w:rPr>
        <w:t>Fact sheet updated September 2024</w:t>
      </w:r>
      <w:r w:rsidR="002E74CD" w:rsidRPr="002E74CD">
        <w:rPr>
          <w:rFonts w:cs="Noto Sans"/>
          <w:color w:val="222222"/>
          <w:sz w:val="24"/>
          <w:szCs w:val="24"/>
        </w:rPr>
        <w:t xml:space="preserve"> </w:t>
      </w:r>
      <w:r w:rsidR="002E74CD" w:rsidRPr="002E74CD">
        <w:rPr>
          <w:rFonts w:cs="Noto Sans"/>
          <w:b w:val="0"/>
          <w:bCs/>
          <w:color w:val="222222"/>
          <w:sz w:val="24"/>
          <w:szCs w:val="24"/>
        </w:rPr>
        <w:t>with the following information:</w:t>
      </w:r>
    </w:p>
    <w:p w14:paraId="0A61BBBB" w14:textId="77777777" w:rsidR="002E74CD" w:rsidRPr="002E74CD" w:rsidRDefault="002E74CD" w:rsidP="002E74CD">
      <w:pPr>
        <w:numPr>
          <w:ilvl w:val="0"/>
          <w:numId w:val="31"/>
        </w:numPr>
        <w:shd w:val="clear" w:color="auto" w:fill="FCFCFC"/>
        <w:spacing w:before="100" w:beforeAutospacing="1" w:line="240" w:lineRule="auto"/>
        <w:rPr>
          <w:rFonts w:cs="Noto Sans"/>
          <w:color w:val="212529"/>
          <w:szCs w:val="24"/>
        </w:rPr>
      </w:pPr>
      <w:r w:rsidRPr="002E74CD">
        <w:rPr>
          <w:rFonts w:cs="Noto Sans"/>
          <w:color w:val="212529"/>
          <w:szCs w:val="24"/>
        </w:rPr>
        <w:t>NASCs and EGL sites have received their budgets for the 2024/25 financial year.</w:t>
      </w:r>
    </w:p>
    <w:p w14:paraId="626BA1AA" w14:textId="77777777" w:rsidR="002E74CD" w:rsidRPr="002E74CD" w:rsidRDefault="002E74CD" w:rsidP="002E74CD">
      <w:pPr>
        <w:numPr>
          <w:ilvl w:val="0"/>
          <w:numId w:val="31"/>
        </w:numPr>
        <w:shd w:val="clear" w:color="auto" w:fill="FCFCFC"/>
        <w:spacing w:before="100" w:beforeAutospacing="1" w:line="240" w:lineRule="auto"/>
        <w:rPr>
          <w:rFonts w:cs="Noto Sans"/>
          <w:color w:val="212529"/>
          <w:szCs w:val="24"/>
        </w:rPr>
      </w:pPr>
      <w:r w:rsidRPr="002E74CD">
        <w:rPr>
          <w:rFonts w:cs="Noto Sans"/>
          <w:color w:val="212529"/>
          <w:szCs w:val="24"/>
        </w:rPr>
        <w:t>The indicative budgets for NASCs and fixed budgets for EGL sites are greater than what they spent last year. </w:t>
      </w:r>
    </w:p>
    <w:p w14:paraId="5625E174" w14:textId="77777777" w:rsidR="002E74CD" w:rsidRPr="002E74CD" w:rsidRDefault="002E74CD" w:rsidP="002E74CD">
      <w:pPr>
        <w:numPr>
          <w:ilvl w:val="0"/>
          <w:numId w:val="31"/>
        </w:numPr>
        <w:shd w:val="clear" w:color="auto" w:fill="FCFCFC"/>
        <w:spacing w:before="100" w:beforeAutospacing="1" w:line="240" w:lineRule="auto"/>
        <w:rPr>
          <w:rFonts w:cs="Noto Sans"/>
          <w:color w:val="212529"/>
          <w:szCs w:val="24"/>
        </w:rPr>
      </w:pPr>
      <w:r w:rsidRPr="002E74CD">
        <w:rPr>
          <w:rFonts w:cs="Noto Sans"/>
          <w:color w:val="212529"/>
          <w:szCs w:val="24"/>
        </w:rPr>
        <w:t>Overall, there has been an increase in the level of funding for disability support for 2024/25.</w:t>
      </w:r>
    </w:p>
    <w:p w14:paraId="29B0DD79" w14:textId="09CD04BB" w:rsidR="00C145DD" w:rsidRPr="002E74CD" w:rsidRDefault="002E74CD" w:rsidP="002E74CD">
      <w:pPr>
        <w:numPr>
          <w:ilvl w:val="0"/>
          <w:numId w:val="31"/>
        </w:numPr>
        <w:shd w:val="clear" w:color="auto" w:fill="FCFCFC"/>
        <w:spacing w:before="100" w:beforeAutospacing="1" w:line="240" w:lineRule="auto"/>
        <w:rPr>
          <w:rFonts w:cs="Noto Sans"/>
          <w:color w:val="212529"/>
          <w:szCs w:val="24"/>
        </w:rPr>
      </w:pPr>
      <w:r w:rsidRPr="002E74CD">
        <w:rPr>
          <w:rFonts w:cs="Noto Sans"/>
          <w:color w:val="212529"/>
          <w:szCs w:val="24"/>
        </w:rPr>
        <w:t>In Budget 2024, the government provided an investment of $1.1B across the forecast period.</w:t>
      </w:r>
      <w:r w:rsidRPr="002E74CD">
        <w:rPr>
          <w:rFonts w:cs="Noto Sans"/>
          <w:color w:val="212529"/>
          <w:szCs w:val="24"/>
        </w:rPr>
        <w:br/>
      </w:r>
    </w:p>
    <w:p w14:paraId="0378C88C" w14:textId="77777777" w:rsidR="002E74CD" w:rsidRPr="002E74CD" w:rsidRDefault="002E74CD" w:rsidP="00C145DD">
      <w:pPr>
        <w:pStyle w:val="NormalWeb"/>
        <w:shd w:val="clear" w:color="auto" w:fill="FCFCFC"/>
        <w:spacing w:before="0" w:beforeAutospacing="0"/>
        <w:rPr>
          <w:rFonts w:ascii="Roboto" w:eastAsia="Calibri" w:hAnsi="Roboto" w:cs="Arial"/>
          <w:b/>
          <w:color w:val="2C602F"/>
          <w:kern w:val="28"/>
          <w:sz w:val="36"/>
          <w:lang w:eastAsia="en-US"/>
        </w:rPr>
      </w:pPr>
      <w:r w:rsidRPr="002E74CD">
        <w:rPr>
          <w:rFonts w:ascii="Roboto" w:eastAsia="Calibri" w:hAnsi="Roboto" w:cs="Arial"/>
          <w:b/>
          <w:color w:val="2C602F"/>
          <w:kern w:val="28"/>
          <w:sz w:val="36"/>
          <w:lang w:eastAsia="en-US"/>
        </w:rPr>
        <w:t>Recommendation 1 | Budgets for NASCs, EGL sites and EMS providers</w:t>
      </w:r>
      <w:r w:rsidRPr="002E74CD">
        <w:rPr>
          <w:rFonts w:ascii="Roboto" w:eastAsia="Calibri" w:hAnsi="Roboto" w:cs="Arial"/>
          <w:b/>
          <w:color w:val="2C602F"/>
          <w:kern w:val="28"/>
          <w:sz w:val="36"/>
          <w:lang w:eastAsia="en-US"/>
        </w:rPr>
        <w:t xml:space="preserve"> </w:t>
      </w:r>
    </w:p>
    <w:p w14:paraId="17A1BCD0" w14:textId="77777777" w:rsidR="002E74CD" w:rsidRPr="002E74CD" w:rsidRDefault="002E74CD" w:rsidP="002E74CD">
      <w:pPr>
        <w:shd w:val="clear" w:color="auto" w:fill="FCFCFC"/>
        <w:spacing w:after="100" w:afterAutospacing="1" w:line="240" w:lineRule="auto"/>
        <w:rPr>
          <w:rFonts w:eastAsia="Times New Roman" w:cs="Noto Sans"/>
          <w:color w:val="222222"/>
          <w:kern w:val="0"/>
          <w:szCs w:val="24"/>
          <w:lang w:eastAsia="en-NZ"/>
        </w:rPr>
      </w:pPr>
      <w:r w:rsidRPr="002E74CD">
        <w:rPr>
          <w:rFonts w:eastAsia="Times New Roman" w:cs="Noto Sans"/>
          <w:i/>
          <w:iCs/>
          <w:color w:val="222222"/>
          <w:kern w:val="0"/>
          <w:szCs w:val="24"/>
          <w:lang w:eastAsia="en-NZ"/>
        </w:rPr>
        <w:t>Detailed planning has taken place and implementation will be worked on jointly with the Taskforce within MSD and Whaikaha - Ministry of Disabled People</w:t>
      </w:r>
    </w:p>
    <w:p w14:paraId="32D52B90" w14:textId="77777777" w:rsidR="002E74CD" w:rsidRPr="002E74CD" w:rsidRDefault="002E74CD" w:rsidP="002E74CD">
      <w:pPr>
        <w:shd w:val="clear" w:color="auto" w:fill="FCFCFC"/>
        <w:spacing w:after="100" w:afterAutospacing="1" w:line="240" w:lineRule="auto"/>
        <w:rPr>
          <w:rFonts w:eastAsia="Times New Roman" w:cs="Noto Sans"/>
          <w:color w:val="222222"/>
          <w:kern w:val="0"/>
          <w:szCs w:val="24"/>
          <w:lang w:eastAsia="en-NZ"/>
        </w:rPr>
      </w:pPr>
      <w:r w:rsidRPr="002E74CD">
        <w:rPr>
          <w:rFonts w:eastAsia="Times New Roman" w:cs="Noto Sans"/>
          <w:b/>
          <w:bCs/>
          <w:color w:val="222222"/>
          <w:kern w:val="0"/>
          <w:szCs w:val="24"/>
          <w:lang w:eastAsia="en-NZ"/>
        </w:rPr>
        <w:t>This recommendation will:</w:t>
      </w:r>
    </w:p>
    <w:p w14:paraId="36F50F66" w14:textId="77777777" w:rsidR="002E74CD" w:rsidRPr="002E74CD" w:rsidRDefault="002E74CD" w:rsidP="002E74CD">
      <w:pPr>
        <w:pStyle w:val="ListParagraph"/>
        <w:numPr>
          <w:ilvl w:val="0"/>
          <w:numId w:val="33"/>
        </w:numPr>
        <w:rPr>
          <w:b/>
          <w:bCs/>
          <w:lang w:eastAsia="en-NZ"/>
        </w:rPr>
      </w:pPr>
      <w:r w:rsidRPr="002E74CD">
        <w:rPr>
          <w:b/>
          <w:bCs/>
          <w:lang w:eastAsia="en-NZ"/>
        </w:rPr>
        <w:t>reinstate indicative budgets for Needs Assessment and Service Coordination organisations (NASCs)</w:t>
      </w:r>
    </w:p>
    <w:p w14:paraId="725C9EF5" w14:textId="77777777" w:rsidR="002E74CD" w:rsidRPr="002E74CD" w:rsidRDefault="002E74CD" w:rsidP="002E74CD">
      <w:pPr>
        <w:pStyle w:val="ListParagraph"/>
        <w:numPr>
          <w:ilvl w:val="0"/>
          <w:numId w:val="33"/>
        </w:numPr>
        <w:rPr>
          <w:b/>
          <w:bCs/>
          <w:lang w:eastAsia="en-NZ"/>
        </w:rPr>
      </w:pPr>
      <w:r w:rsidRPr="002E74CD">
        <w:rPr>
          <w:b/>
          <w:bCs/>
          <w:lang w:eastAsia="en-NZ"/>
        </w:rPr>
        <w:t xml:space="preserve">introduce fixed budgets for Enabling Good Lives (EGL) </w:t>
      </w:r>
      <w:proofErr w:type="gramStart"/>
      <w:r w:rsidRPr="002E74CD">
        <w:rPr>
          <w:b/>
          <w:bCs/>
          <w:lang w:eastAsia="en-NZ"/>
        </w:rPr>
        <w:t>sites</w:t>
      </w:r>
      <w:proofErr w:type="gramEnd"/>
    </w:p>
    <w:p w14:paraId="664B1436" w14:textId="77777777" w:rsidR="002E74CD" w:rsidRPr="002E74CD" w:rsidRDefault="002E74CD" w:rsidP="002E74CD">
      <w:pPr>
        <w:pStyle w:val="ListParagraph"/>
        <w:numPr>
          <w:ilvl w:val="0"/>
          <w:numId w:val="33"/>
        </w:numPr>
        <w:rPr>
          <w:b/>
          <w:bCs/>
          <w:lang w:eastAsia="en-NZ"/>
        </w:rPr>
      </w:pPr>
      <w:r w:rsidRPr="002E74CD">
        <w:rPr>
          <w:b/>
          <w:bCs/>
          <w:lang w:eastAsia="en-NZ"/>
        </w:rPr>
        <w:t>reinstate monitoring and reporting requirements for NASCs, Equipment and Modification Service (EMS) providers and EGL sites.</w:t>
      </w:r>
    </w:p>
    <w:p w14:paraId="69535B85" w14:textId="0944701E" w:rsidR="002E74CD" w:rsidRPr="002E74CD" w:rsidRDefault="002E74CD" w:rsidP="002E74CD">
      <w:pPr>
        <w:shd w:val="clear" w:color="auto" w:fill="FCFCFC"/>
        <w:spacing w:after="100" w:afterAutospacing="1" w:line="240" w:lineRule="auto"/>
        <w:rPr>
          <w:rFonts w:eastAsia="Times New Roman" w:cs="Noto Sans"/>
          <w:color w:val="222222"/>
          <w:kern w:val="0"/>
          <w:szCs w:val="24"/>
          <w:lang w:eastAsia="en-NZ"/>
        </w:rPr>
      </w:pPr>
      <w:r w:rsidRPr="002E74CD">
        <w:rPr>
          <w:rFonts w:eastAsia="Times New Roman" w:cs="Noto Sans"/>
          <w:color w:val="222222"/>
          <w:kern w:val="0"/>
          <w:szCs w:val="24"/>
          <w:lang w:eastAsia="en-NZ"/>
        </w:rPr>
        <w:br/>
      </w:r>
      <w:r w:rsidRPr="002E74CD">
        <w:rPr>
          <w:rFonts w:eastAsia="Times New Roman" w:cs="Noto Sans"/>
          <w:color w:val="222222"/>
          <w:kern w:val="0"/>
          <w:szCs w:val="24"/>
          <w:lang w:eastAsia="en-NZ"/>
        </w:rPr>
        <w:t>Ensuring NASCs and EGL sites allocate support within a budget will help ensure support to disabled New Zealanders is delivered within the budget set by Parliament.</w:t>
      </w:r>
    </w:p>
    <w:p w14:paraId="3DEAD97B" w14:textId="77777777" w:rsidR="002E74CD" w:rsidRPr="002E74CD" w:rsidRDefault="002E74CD" w:rsidP="002E74CD">
      <w:pPr>
        <w:shd w:val="clear" w:color="auto" w:fill="FCFCFC"/>
        <w:spacing w:after="100" w:afterAutospacing="1" w:line="240" w:lineRule="auto"/>
        <w:rPr>
          <w:rFonts w:eastAsia="Times New Roman" w:cs="Noto Sans"/>
          <w:color w:val="222222"/>
          <w:kern w:val="0"/>
          <w:szCs w:val="24"/>
          <w:lang w:eastAsia="en-NZ"/>
        </w:rPr>
      </w:pPr>
      <w:r w:rsidRPr="002E74CD">
        <w:rPr>
          <w:rFonts w:eastAsia="Times New Roman" w:cs="Noto Sans"/>
          <w:color w:val="222222"/>
          <w:kern w:val="0"/>
          <w:szCs w:val="24"/>
          <w:lang w:eastAsia="en-NZ"/>
        </w:rPr>
        <w:t>NASCs and EGL sites have received their budgets for the 2024/25 financial year.</w:t>
      </w:r>
    </w:p>
    <w:p w14:paraId="75A60731" w14:textId="77777777" w:rsidR="002E74CD" w:rsidRPr="002E74CD" w:rsidRDefault="002E74CD" w:rsidP="002E74CD">
      <w:pPr>
        <w:shd w:val="clear" w:color="auto" w:fill="FCFCFC"/>
        <w:spacing w:after="100" w:afterAutospacing="1" w:line="240" w:lineRule="auto"/>
        <w:rPr>
          <w:rFonts w:eastAsia="Times New Roman" w:cs="Noto Sans"/>
          <w:color w:val="222222"/>
          <w:kern w:val="0"/>
          <w:szCs w:val="24"/>
          <w:lang w:eastAsia="en-NZ"/>
        </w:rPr>
      </w:pPr>
      <w:r w:rsidRPr="002E74CD">
        <w:rPr>
          <w:rFonts w:eastAsia="Times New Roman" w:cs="Noto Sans"/>
          <w:color w:val="222222"/>
          <w:kern w:val="0"/>
          <w:szCs w:val="24"/>
          <w:lang w:eastAsia="en-NZ"/>
        </w:rPr>
        <w:t>The indicative budgets for NASCs and fixed budgets for EGL sites are greater than what they spent last year.</w:t>
      </w:r>
    </w:p>
    <w:p w14:paraId="7D6ED5E3" w14:textId="77777777" w:rsidR="002E74CD" w:rsidRPr="002E74CD" w:rsidRDefault="002E74CD" w:rsidP="002E74CD">
      <w:pPr>
        <w:shd w:val="clear" w:color="auto" w:fill="FCFCFC"/>
        <w:spacing w:after="100" w:afterAutospacing="1" w:line="240" w:lineRule="auto"/>
        <w:rPr>
          <w:rFonts w:eastAsia="Times New Roman" w:cs="Noto Sans"/>
          <w:color w:val="222222"/>
          <w:kern w:val="0"/>
          <w:szCs w:val="24"/>
          <w:lang w:eastAsia="en-NZ"/>
        </w:rPr>
      </w:pPr>
      <w:r w:rsidRPr="002E74CD">
        <w:rPr>
          <w:rFonts w:eastAsia="Times New Roman" w:cs="Noto Sans"/>
          <w:color w:val="222222"/>
          <w:kern w:val="0"/>
          <w:szCs w:val="24"/>
          <w:lang w:eastAsia="en-NZ"/>
        </w:rPr>
        <w:t>Overall, there has been an increase in the level of funding for disability support for 2024/25.</w:t>
      </w:r>
    </w:p>
    <w:p w14:paraId="201065AB" w14:textId="77777777" w:rsidR="002E74CD" w:rsidRPr="002E74CD" w:rsidRDefault="002E74CD" w:rsidP="002E74CD">
      <w:pPr>
        <w:shd w:val="clear" w:color="auto" w:fill="FCFCFC"/>
        <w:spacing w:after="100" w:afterAutospacing="1" w:line="240" w:lineRule="auto"/>
        <w:rPr>
          <w:rFonts w:eastAsia="Times New Roman" w:cs="Noto Sans"/>
          <w:color w:val="222222"/>
          <w:kern w:val="0"/>
          <w:szCs w:val="24"/>
          <w:lang w:eastAsia="en-NZ"/>
        </w:rPr>
      </w:pPr>
      <w:r w:rsidRPr="002E74CD">
        <w:rPr>
          <w:rFonts w:eastAsia="Times New Roman" w:cs="Noto Sans"/>
          <w:color w:val="222222"/>
          <w:kern w:val="0"/>
          <w:szCs w:val="24"/>
          <w:lang w:eastAsia="en-NZ"/>
        </w:rPr>
        <w:t>In Budget 2024, the government provided an investment of $1.1B across the forecast period.</w:t>
      </w:r>
    </w:p>
    <w:p w14:paraId="301922DF" w14:textId="77777777" w:rsidR="002E74CD" w:rsidRPr="002E74CD" w:rsidRDefault="002E74CD" w:rsidP="002E74CD">
      <w:pPr>
        <w:shd w:val="clear" w:color="auto" w:fill="FCFCFC"/>
        <w:spacing w:after="100" w:afterAutospacing="1" w:line="240" w:lineRule="auto"/>
        <w:rPr>
          <w:rFonts w:eastAsia="Times New Roman" w:cs="Noto Sans"/>
          <w:color w:val="222222"/>
          <w:kern w:val="0"/>
          <w:szCs w:val="24"/>
          <w:lang w:eastAsia="en-NZ"/>
        </w:rPr>
      </w:pPr>
      <w:r w:rsidRPr="002E74CD">
        <w:rPr>
          <w:rFonts w:eastAsia="Times New Roman" w:cs="Noto Sans"/>
          <w:color w:val="222222"/>
          <w:kern w:val="0"/>
          <w:szCs w:val="24"/>
          <w:lang w:eastAsia="en-NZ"/>
        </w:rPr>
        <w:lastRenderedPageBreak/>
        <w:t>NASCs and EGL sites are expected to manage allocations of support and services within the budgets they are given. They will be supported to do this by the Ministries.</w:t>
      </w:r>
    </w:p>
    <w:p w14:paraId="4F5B7F01" w14:textId="77777777" w:rsidR="002E74CD" w:rsidRPr="002E74CD" w:rsidRDefault="002E74CD" w:rsidP="002E74CD">
      <w:pPr>
        <w:shd w:val="clear" w:color="auto" w:fill="FCFCFC"/>
        <w:spacing w:after="100" w:afterAutospacing="1" w:line="240" w:lineRule="auto"/>
        <w:rPr>
          <w:rFonts w:eastAsia="Times New Roman" w:cs="Noto Sans"/>
          <w:color w:val="222222"/>
          <w:kern w:val="0"/>
          <w:szCs w:val="24"/>
          <w:lang w:eastAsia="en-NZ"/>
        </w:rPr>
      </w:pPr>
      <w:r w:rsidRPr="002E74CD">
        <w:rPr>
          <w:rFonts w:eastAsia="Times New Roman" w:cs="Noto Sans"/>
          <w:color w:val="222222"/>
          <w:kern w:val="0"/>
          <w:szCs w:val="24"/>
          <w:lang w:eastAsia="en-NZ"/>
        </w:rPr>
        <w:t>NASCs will use their budget to allocate and prioritise support to those who need it most. Their budgets are ‘indicative’ as some funding is retained centrally by Whaikaha to manage during the year.</w:t>
      </w:r>
    </w:p>
    <w:p w14:paraId="042439D6" w14:textId="77777777" w:rsidR="002E74CD" w:rsidRPr="002E74CD" w:rsidRDefault="002E74CD" w:rsidP="002E74CD">
      <w:pPr>
        <w:shd w:val="clear" w:color="auto" w:fill="FCFCFC"/>
        <w:spacing w:after="100" w:afterAutospacing="1" w:line="240" w:lineRule="auto"/>
        <w:rPr>
          <w:rFonts w:eastAsia="Times New Roman" w:cs="Noto Sans"/>
          <w:color w:val="222222"/>
          <w:kern w:val="0"/>
          <w:szCs w:val="24"/>
          <w:lang w:eastAsia="en-NZ"/>
        </w:rPr>
      </w:pPr>
      <w:r w:rsidRPr="002E74CD">
        <w:rPr>
          <w:rFonts w:eastAsia="Times New Roman" w:cs="Noto Sans"/>
          <w:color w:val="222222"/>
          <w:kern w:val="0"/>
          <w:szCs w:val="24"/>
          <w:lang w:eastAsia="en-NZ"/>
        </w:rPr>
        <w:t>NASCs will continue to review support packages. Where people need additional support, or if their needs change, NASCs will manage this within their budget.</w:t>
      </w:r>
    </w:p>
    <w:p w14:paraId="48FBA1B6" w14:textId="77777777" w:rsidR="002E74CD" w:rsidRPr="002E74CD" w:rsidRDefault="002E74CD" w:rsidP="00C145DD">
      <w:pPr>
        <w:pStyle w:val="NormalWeb"/>
        <w:shd w:val="clear" w:color="auto" w:fill="FCFCFC"/>
        <w:spacing w:before="0" w:beforeAutospacing="0"/>
        <w:rPr>
          <w:rFonts w:ascii="Roboto" w:eastAsia="Calibri" w:hAnsi="Roboto" w:cs="Arial"/>
          <w:b/>
          <w:color w:val="2C602F"/>
          <w:kern w:val="28"/>
          <w:sz w:val="32"/>
          <w:szCs w:val="22"/>
          <w:lang w:eastAsia="en-US"/>
        </w:rPr>
      </w:pPr>
      <w:r w:rsidRPr="002E74CD">
        <w:rPr>
          <w:rFonts w:ascii="Roboto" w:eastAsia="Calibri" w:hAnsi="Roboto" w:cs="Arial"/>
          <w:b/>
          <w:color w:val="2C602F"/>
          <w:kern w:val="28"/>
          <w:sz w:val="32"/>
          <w:szCs w:val="22"/>
          <w:lang w:eastAsia="en-US"/>
        </w:rPr>
        <w:t>What this means for NASCs, EGL sites and EMS providers</w:t>
      </w:r>
      <w:r w:rsidRPr="002E74CD">
        <w:rPr>
          <w:rFonts w:ascii="Roboto" w:eastAsia="Calibri" w:hAnsi="Roboto" w:cs="Arial"/>
          <w:b/>
          <w:color w:val="2C602F"/>
          <w:kern w:val="28"/>
          <w:sz w:val="32"/>
          <w:szCs w:val="22"/>
          <w:lang w:eastAsia="en-US"/>
        </w:rPr>
        <w:t xml:space="preserve"> </w:t>
      </w:r>
    </w:p>
    <w:p w14:paraId="33F2F422" w14:textId="77777777" w:rsidR="002E74CD" w:rsidRPr="002E74CD" w:rsidRDefault="002E74CD" w:rsidP="002E74CD">
      <w:pPr>
        <w:pStyle w:val="NormalWeb"/>
        <w:shd w:val="clear" w:color="auto" w:fill="FCFCFC"/>
        <w:spacing w:before="0" w:beforeAutospacing="0"/>
        <w:rPr>
          <w:rFonts w:ascii="Roboto" w:hAnsi="Roboto" w:cs="Noto Sans"/>
          <w:color w:val="222222"/>
        </w:rPr>
      </w:pPr>
      <w:r w:rsidRPr="002E74CD">
        <w:rPr>
          <w:rFonts w:ascii="Roboto" w:hAnsi="Roboto" w:cs="Noto Sans"/>
          <w:color w:val="222222"/>
        </w:rPr>
        <w:t>NASCs, EGL sites and EMS providers will need to prioritise how they allocate support for disabled people and their carers so the support allocated fits within their overall budget.</w:t>
      </w:r>
    </w:p>
    <w:p w14:paraId="0A8C7CA5" w14:textId="77777777" w:rsidR="002E74CD" w:rsidRPr="002E74CD" w:rsidRDefault="002E74CD" w:rsidP="002E74CD">
      <w:pPr>
        <w:pStyle w:val="NormalWeb"/>
        <w:shd w:val="clear" w:color="auto" w:fill="FCFCFC"/>
        <w:spacing w:before="0" w:beforeAutospacing="0"/>
        <w:rPr>
          <w:rFonts w:ascii="Roboto" w:hAnsi="Roboto" w:cs="Noto Sans"/>
          <w:color w:val="222222"/>
        </w:rPr>
      </w:pPr>
      <w:r w:rsidRPr="002E74CD">
        <w:rPr>
          <w:rFonts w:ascii="Roboto" w:hAnsi="Roboto" w:cs="Noto Sans"/>
          <w:color w:val="222222"/>
        </w:rPr>
        <w:t>NASCs will be provided with monthly reporting on their spend. EMS providers can track their own spending.</w:t>
      </w:r>
    </w:p>
    <w:p w14:paraId="4A967393" w14:textId="77777777" w:rsidR="002E74CD" w:rsidRPr="002E74CD" w:rsidRDefault="002E74CD" w:rsidP="002E74CD">
      <w:pPr>
        <w:pStyle w:val="NormalWeb"/>
        <w:shd w:val="clear" w:color="auto" w:fill="FCFCFC"/>
        <w:spacing w:before="0" w:beforeAutospacing="0"/>
        <w:rPr>
          <w:rFonts w:ascii="Roboto" w:hAnsi="Roboto" w:cs="Noto Sans"/>
          <w:color w:val="222222"/>
        </w:rPr>
      </w:pPr>
      <w:r w:rsidRPr="002E74CD">
        <w:rPr>
          <w:rFonts w:ascii="Roboto" w:hAnsi="Roboto" w:cs="Noto Sans"/>
          <w:color w:val="222222"/>
        </w:rPr>
        <w:t>NASCs will be provided with supporting tools and guidance, EMS providers and EGL sites on their allocated budgets.</w:t>
      </w:r>
    </w:p>
    <w:p w14:paraId="08DC99A2" w14:textId="77777777" w:rsidR="002E74CD" w:rsidRPr="002E74CD" w:rsidRDefault="002E74CD" w:rsidP="002E74CD">
      <w:pPr>
        <w:pStyle w:val="NormalWeb"/>
        <w:shd w:val="clear" w:color="auto" w:fill="FCFCFC"/>
        <w:spacing w:before="0" w:beforeAutospacing="0"/>
        <w:rPr>
          <w:rFonts w:ascii="Roboto" w:hAnsi="Roboto" w:cs="Noto Sans"/>
          <w:color w:val="222222"/>
        </w:rPr>
      </w:pPr>
      <w:r w:rsidRPr="002E74CD">
        <w:rPr>
          <w:rFonts w:ascii="Roboto" w:hAnsi="Roboto" w:cs="Noto Sans"/>
          <w:color w:val="222222"/>
        </w:rPr>
        <w:t>NASCs have received new Operation Policy and Guidelines, following the Independent Review announcement.</w:t>
      </w:r>
    </w:p>
    <w:p w14:paraId="11FE9D6B" w14:textId="77777777" w:rsidR="002E74CD" w:rsidRPr="002E74CD" w:rsidRDefault="002E74CD" w:rsidP="002E74CD">
      <w:pPr>
        <w:pStyle w:val="NormalWeb"/>
        <w:shd w:val="clear" w:color="auto" w:fill="FCFCFC"/>
        <w:spacing w:before="0" w:beforeAutospacing="0"/>
        <w:rPr>
          <w:rFonts w:ascii="Roboto" w:hAnsi="Roboto" w:cs="Noto Sans"/>
          <w:color w:val="222222"/>
        </w:rPr>
      </w:pPr>
      <w:r w:rsidRPr="002E74CD">
        <w:rPr>
          <w:rFonts w:ascii="Roboto" w:hAnsi="Roboto" w:cs="Noto Sans"/>
          <w:color w:val="222222"/>
        </w:rPr>
        <w:t>The guidance will ensure a nationally consistent approach, keep spending within indicative budgets (NASCs) and fixed budgets (EGL sites).</w:t>
      </w:r>
    </w:p>
    <w:p w14:paraId="6FE9C2DF" w14:textId="77777777" w:rsidR="002E74CD" w:rsidRPr="002E74CD" w:rsidRDefault="002E74CD" w:rsidP="002E74CD">
      <w:pPr>
        <w:pStyle w:val="NormalWeb"/>
        <w:shd w:val="clear" w:color="auto" w:fill="FCFCFC"/>
        <w:spacing w:before="0" w:beforeAutospacing="0"/>
        <w:rPr>
          <w:rFonts w:ascii="Roboto" w:hAnsi="Roboto" w:cs="Noto Sans"/>
          <w:color w:val="222222"/>
        </w:rPr>
      </w:pPr>
      <w:r w:rsidRPr="002E74CD">
        <w:rPr>
          <w:rFonts w:ascii="Roboto" w:hAnsi="Roboto" w:cs="Noto Sans"/>
          <w:color w:val="222222"/>
        </w:rPr>
        <w:t>It also sets the circumstances when decisions on support packages must be referred to a Review Panel.</w:t>
      </w:r>
    </w:p>
    <w:p w14:paraId="75E5DD45" w14:textId="77777777" w:rsidR="002E74CD" w:rsidRPr="002E74CD" w:rsidRDefault="002E74CD" w:rsidP="002E74CD">
      <w:pPr>
        <w:pStyle w:val="NormalWeb"/>
        <w:shd w:val="clear" w:color="auto" w:fill="FCFCFC"/>
        <w:spacing w:before="0" w:beforeAutospacing="0" w:after="0" w:afterAutospacing="0"/>
        <w:rPr>
          <w:rFonts w:ascii="Roboto" w:hAnsi="Roboto" w:cs="Noto Sans"/>
          <w:color w:val="222222"/>
        </w:rPr>
      </w:pPr>
      <w:r w:rsidRPr="002E74CD">
        <w:rPr>
          <w:rFonts w:ascii="Roboto" w:hAnsi="Roboto" w:cs="Noto Sans"/>
          <w:color w:val="222222"/>
        </w:rPr>
        <w:t>This recommendation will be implemented as soon as possible and applies to this current financial year.</w:t>
      </w:r>
    </w:p>
    <w:p w14:paraId="624FEF49" w14:textId="77777777" w:rsidR="002E74CD" w:rsidRPr="002E74CD" w:rsidRDefault="002E74CD" w:rsidP="002E74CD">
      <w:pPr>
        <w:pStyle w:val="NormalWeb"/>
        <w:shd w:val="clear" w:color="auto" w:fill="FCFCFC"/>
        <w:spacing w:before="0" w:beforeAutospacing="0" w:after="0" w:afterAutospacing="0"/>
        <w:rPr>
          <w:rFonts w:ascii="Roboto" w:hAnsi="Roboto" w:cs="Noto Sans"/>
          <w:color w:val="222222"/>
        </w:rPr>
      </w:pPr>
    </w:p>
    <w:p w14:paraId="5B79FF82" w14:textId="77777777" w:rsidR="002E74CD" w:rsidRPr="002E74CD" w:rsidRDefault="002E74CD" w:rsidP="002E74CD">
      <w:pPr>
        <w:pStyle w:val="Heading2"/>
        <w:rPr>
          <w:rFonts w:cs="Times New Roman"/>
          <w:kern w:val="0"/>
          <w:sz w:val="36"/>
        </w:rPr>
      </w:pPr>
      <w:r w:rsidRPr="002E74CD">
        <w:t>Recommendation 2 | Freeze funding for residential care</w:t>
      </w:r>
    </w:p>
    <w:p w14:paraId="724BF72A" w14:textId="77777777" w:rsidR="002E74CD" w:rsidRPr="002E74CD" w:rsidRDefault="002E74CD" w:rsidP="002E74CD">
      <w:pPr>
        <w:pStyle w:val="NormalWeb"/>
        <w:rPr>
          <w:rFonts w:ascii="Roboto" w:hAnsi="Roboto"/>
        </w:rPr>
      </w:pPr>
      <w:r w:rsidRPr="002E74CD">
        <w:rPr>
          <w:rStyle w:val="Emphasis"/>
          <w:rFonts w:ascii="Roboto" w:eastAsiaTheme="majorEastAsia" w:hAnsi="Roboto"/>
        </w:rPr>
        <w:t>Implemented from the day of the announcement and reported on and monitored by the Ministry of Disabled People – Whaikaha until DSS is transferred to MSD in mid-September 2024.</w:t>
      </w:r>
    </w:p>
    <w:p w14:paraId="6755F766" w14:textId="77777777" w:rsidR="002E74CD" w:rsidRPr="002E74CD" w:rsidRDefault="002E74CD" w:rsidP="002E74CD">
      <w:pPr>
        <w:pStyle w:val="lead"/>
        <w:rPr>
          <w:rFonts w:ascii="Roboto" w:hAnsi="Roboto"/>
        </w:rPr>
      </w:pPr>
      <w:r w:rsidRPr="002E74CD">
        <w:rPr>
          <w:rStyle w:val="Strong"/>
          <w:rFonts w:ascii="Roboto" w:hAnsi="Roboto"/>
        </w:rPr>
        <w:t>This recommendation will maintain current levels of funding for residential facility-based care for 2024/25 pending commissioning and completion of a detailed and urgent review of the contract and pricing models.</w:t>
      </w:r>
    </w:p>
    <w:p w14:paraId="7A2BFE5E" w14:textId="77777777" w:rsidR="002E74CD" w:rsidRPr="002E74CD" w:rsidRDefault="002E74CD" w:rsidP="002E74CD">
      <w:pPr>
        <w:pStyle w:val="NormalWeb"/>
        <w:rPr>
          <w:rFonts w:ascii="Roboto" w:hAnsi="Roboto"/>
        </w:rPr>
      </w:pPr>
    </w:p>
    <w:p w14:paraId="6020B311" w14:textId="77777777" w:rsidR="002E74CD" w:rsidRPr="002E74CD" w:rsidRDefault="002E74CD" w:rsidP="002E74CD">
      <w:pPr>
        <w:pStyle w:val="NormalWeb"/>
        <w:rPr>
          <w:rFonts w:ascii="Roboto" w:hAnsi="Roboto"/>
        </w:rPr>
      </w:pPr>
    </w:p>
    <w:p w14:paraId="668582A1" w14:textId="77777777" w:rsidR="002E74CD" w:rsidRPr="002E74CD" w:rsidRDefault="002E74CD" w:rsidP="002E74CD">
      <w:pPr>
        <w:pStyle w:val="NormalWeb"/>
        <w:rPr>
          <w:rFonts w:ascii="Roboto" w:hAnsi="Roboto"/>
        </w:rPr>
      </w:pPr>
    </w:p>
    <w:p w14:paraId="6800E8AE" w14:textId="6182806B" w:rsidR="002E74CD" w:rsidRPr="002E74CD" w:rsidRDefault="002E74CD" w:rsidP="002E74CD">
      <w:pPr>
        <w:pStyle w:val="NormalWeb"/>
        <w:rPr>
          <w:rFonts w:ascii="Roboto" w:hAnsi="Roboto"/>
        </w:rPr>
      </w:pPr>
      <w:r w:rsidRPr="002E74CD">
        <w:rPr>
          <w:rFonts w:ascii="Roboto" w:hAnsi="Roboto"/>
        </w:rPr>
        <w:t>While the number of people in residential care has been relatively constant for several years, the cost of delivering the service has increased by 29% between 2015/16 and 2022/23.</w:t>
      </w:r>
    </w:p>
    <w:p w14:paraId="05EB593F" w14:textId="77777777" w:rsidR="002E74CD" w:rsidRPr="002E74CD" w:rsidRDefault="002E74CD" w:rsidP="002E74CD">
      <w:pPr>
        <w:pStyle w:val="NormalWeb"/>
        <w:rPr>
          <w:rFonts w:ascii="Roboto" w:hAnsi="Roboto"/>
        </w:rPr>
      </w:pPr>
      <w:r w:rsidRPr="002E74CD">
        <w:rPr>
          <w:rFonts w:ascii="Roboto" w:hAnsi="Roboto"/>
        </w:rPr>
        <w:t>This financial year, current levels of funding will be frozen.</w:t>
      </w:r>
    </w:p>
    <w:p w14:paraId="30CB66EE" w14:textId="77777777" w:rsidR="002E74CD" w:rsidRPr="002E74CD" w:rsidRDefault="002E74CD" w:rsidP="002E74CD">
      <w:pPr>
        <w:pStyle w:val="NormalWeb"/>
        <w:rPr>
          <w:rFonts w:ascii="Roboto" w:hAnsi="Roboto"/>
        </w:rPr>
      </w:pPr>
      <w:r w:rsidRPr="002E74CD">
        <w:rPr>
          <w:rFonts w:ascii="Roboto" w:hAnsi="Roboto"/>
        </w:rPr>
        <w:t>This means that the rates providers are currently paid for people in their care are the rates they will continue to be paid for the remainder of the 2024/25 financial year (until 30 June 2025). The current bands and rates for residential care pricing remain the same.</w:t>
      </w:r>
    </w:p>
    <w:p w14:paraId="06389646" w14:textId="77777777" w:rsidR="002E74CD" w:rsidRPr="002E74CD" w:rsidRDefault="002E74CD" w:rsidP="002E74CD">
      <w:pPr>
        <w:pStyle w:val="NormalWeb"/>
        <w:rPr>
          <w:rFonts w:ascii="Roboto" w:hAnsi="Roboto"/>
        </w:rPr>
      </w:pPr>
      <w:r w:rsidRPr="002E74CD">
        <w:rPr>
          <w:rFonts w:ascii="Roboto" w:hAnsi="Roboto"/>
        </w:rPr>
        <w:t>Where a person’s support needs have changed, the NASC may agree to an increase in the rate paid for that person. They will need to manage this within their residential care budget.</w:t>
      </w:r>
    </w:p>
    <w:p w14:paraId="43E9BECA" w14:textId="77777777" w:rsidR="002E74CD" w:rsidRPr="002E74CD" w:rsidRDefault="002E74CD" w:rsidP="002E74CD">
      <w:pPr>
        <w:pStyle w:val="NormalWeb"/>
        <w:rPr>
          <w:rFonts w:ascii="Roboto" w:hAnsi="Roboto"/>
        </w:rPr>
      </w:pPr>
      <w:r w:rsidRPr="002E74CD">
        <w:rPr>
          <w:rFonts w:ascii="Roboto" w:hAnsi="Roboto"/>
        </w:rPr>
        <w:t>We anticipate this change will mean that the overall number of people in residential care will not increase in the 2024/25 financial year.</w:t>
      </w:r>
    </w:p>
    <w:p w14:paraId="79493088" w14:textId="77777777" w:rsidR="002E74CD" w:rsidRPr="002E74CD" w:rsidRDefault="002E74CD" w:rsidP="002E74CD">
      <w:pPr>
        <w:pStyle w:val="Heading3"/>
      </w:pPr>
      <w:r w:rsidRPr="002E74CD">
        <w:t>What are individualised rates for residential care?</w:t>
      </w:r>
    </w:p>
    <w:p w14:paraId="07D7D9DB" w14:textId="77777777" w:rsidR="002E74CD" w:rsidRPr="002E74CD" w:rsidRDefault="002E74CD" w:rsidP="002E74CD">
      <w:pPr>
        <w:pStyle w:val="NormalWeb"/>
        <w:rPr>
          <w:rFonts w:ascii="Roboto" w:hAnsi="Roboto"/>
        </w:rPr>
      </w:pPr>
      <w:r w:rsidRPr="002E74CD">
        <w:rPr>
          <w:rFonts w:ascii="Roboto" w:hAnsi="Roboto"/>
        </w:rPr>
        <w:t>Individualised rates are used where it has been agreed that a person’s support needs require more than contract rates and bands allow for.</w:t>
      </w:r>
    </w:p>
    <w:p w14:paraId="7ECD5130" w14:textId="77777777" w:rsidR="002E74CD" w:rsidRPr="002E74CD" w:rsidRDefault="002E74CD" w:rsidP="002E74CD">
      <w:pPr>
        <w:pStyle w:val="NormalWeb"/>
        <w:rPr>
          <w:rFonts w:ascii="Roboto" w:hAnsi="Roboto"/>
        </w:rPr>
      </w:pPr>
      <w:r w:rsidRPr="002E74CD">
        <w:rPr>
          <w:rFonts w:ascii="Roboto" w:hAnsi="Roboto"/>
        </w:rPr>
        <w:t>NASCs and EGL sites will not be able to approve new individualised rates.</w:t>
      </w:r>
    </w:p>
    <w:p w14:paraId="25B0AC34" w14:textId="77777777" w:rsidR="002E74CD" w:rsidRPr="002E74CD" w:rsidRDefault="002E74CD" w:rsidP="002E74CD">
      <w:pPr>
        <w:pStyle w:val="Heading3"/>
      </w:pPr>
      <w:r w:rsidRPr="002E74CD">
        <w:t xml:space="preserve">Review panel </w:t>
      </w:r>
      <w:proofErr w:type="gramStart"/>
      <w:r w:rsidRPr="002E74CD">
        <w:t>re-established</w:t>
      </w:r>
      <w:proofErr w:type="gramEnd"/>
    </w:p>
    <w:p w14:paraId="05CB13D9" w14:textId="77777777" w:rsidR="002E74CD" w:rsidRPr="002E74CD" w:rsidRDefault="002E74CD" w:rsidP="002E74CD">
      <w:pPr>
        <w:pStyle w:val="NormalWeb"/>
        <w:rPr>
          <w:rFonts w:ascii="Roboto" w:hAnsi="Roboto"/>
        </w:rPr>
      </w:pPr>
      <w:r w:rsidRPr="002E74CD">
        <w:rPr>
          <w:rFonts w:ascii="Roboto" w:hAnsi="Roboto"/>
        </w:rPr>
        <w:t>A review panel will be re-established to consider requests for individualised rates.</w:t>
      </w:r>
    </w:p>
    <w:p w14:paraId="5AC50DD9" w14:textId="77777777" w:rsidR="002E74CD" w:rsidRPr="002E74CD" w:rsidRDefault="002E74CD" w:rsidP="002E74CD">
      <w:pPr>
        <w:pStyle w:val="NormalWeb"/>
        <w:rPr>
          <w:rFonts w:ascii="Roboto" w:hAnsi="Roboto"/>
        </w:rPr>
      </w:pPr>
      <w:r w:rsidRPr="002E74CD">
        <w:rPr>
          <w:rFonts w:ascii="Roboto" w:hAnsi="Roboto"/>
        </w:rPr>
        <w:t>This panel’s agreement will be required for:</w:t>
      </w:r>
    </w:p>
    <w:p w14:paraId="54B12981" w14:textId="77777777" w:rsidR="002E74CD" w:rsidRPr="002E74CD" w:rsidRDefault="002E74CD" w:rsidP="002E74CD">
      <w:pPr>
        <w:numPr>
          <w:ilvl w:val="0"/>
          <w:numId w:val="34"/>
        </w:numPr>
        <w:spacing w:before="100" w:beforeAutospacing="1" w:after="100" w:afterAutospacing="1" w:line="240" w:lineRule="auto"/>
      </w:pPr>
      <w:r w:rsidRPr="002E74CD">
        <w:t>any individualised rates for residential care</w:t>
      </w:r>
    </w:p>
    <w:p w14:paraId="2B921461" w14:textId="77777777" w:rsidR="002E74CD" w:rsidRPr="002E74CD" w:rsidRDefault="002E74CD" w:rsidP="002E74CD">
      <w:pPr>
        <w:numPr>
          <w:ilvl w:val="0"/>
          <w:numId w:val="34"/>
        </w:numPr>
        <w:spacing w:before="100" w:beforeAutospacing="1" w:after="100" w:afterAutospacing="1" w:line="240" w:lineRule="auto"/>
      </w:pPr>
      <w:r w:rsidRPr="002E74CD">
        <w:t>high-cost community support allocations.</w:t>
      </w:r>
    </w:p>
    <w:p w14:paraId="0956DE62" w14:textId="0443C75E" w:rsidR="002E74CD" w:rsidRPr="002E74CD" w:rsidRDefault="002E74CD" w:rsidP="002E74CD">
      <w:pPr>
        <w:pStyle w:val="NormalWeb"/>
        <w:rPr>
          <w:rFonts w:ascii="Roboto" w:hAnsi="Roboto"/>
        </w:rPr>
      </w:pPr>
      <w:r w:rsidRPr="002E74CD">
        <w:rPr>
          <w:rFonts w:ascii="Roboto" w:hAnsi="Roboto"/>
        </w:rPr>
        <w:t>This recommendation is effective immediately.</w:t>
      </w:r>
      <w:r>
        <w:rPr>
          <w:rFonts w:ascii="Roboto" w:hAnsi="Roboto"/>
        </w:rPr>
        <w:br/>
      </w:r>
    </w:p>
    <w:p w14:paraId="2F192689" w14:textId="77777777" w:rsidR="002E74CD" w:rsidRPr="002E74CD" w:rsidRDefault="002E74CD" w:rsidP="002E74CD">
      <w:pPr>
        <w:pStyle w:val="Heading2"/>
        <w:rPr>
          <w:rFonts w:cs="Times New Roman"/>
          <w:kern w:val="0"/>
          <w:sz w:val="36"/>
        </w:rPr>
      </w:pPr>
      <w:r w:rsidRPr="002E74CD">
        <w:t xml:space="preserve">Recommendation 3 | Take no action on a price increase for providers in </w:t>
      </w:r>
      <w:proofErr w:type="gramStart"/>
      <w:r w:rsidRPr="002E74CD">
        <w:t>2024/25</w:t>
      </w:r>
      <w:proofErr w:type="gramEnd"/>
    </w:p>
    <w:p w14:paraId="72E816BB" w14:textId="77777777" w:rsidR="002E74CD" w:rsidRPr="002E74CD" w:rsidRDefault="002E74CD" w:rsidP="002E74CD">
      <w:pPr>
        <w:pStyle w:val="NormalWeb"/>
        <w:rPr>
          <w:rFonts w:ascii="Roboto" w:hAnsi="Roboto"/>
        </w:rPr>
      </w:pPr>
      <w:r w:rsidRPr="002E74CD">
        <w:rPr>
          <w:rStyle w:val="Emphasis"/>
          <w:rFonts w:ascii="Roboto" w:eastAsiaTheme="majorEastAsia" w:hAnsi="Roboto"/>
        </w:rPr>
        <w:t xml:space="preserve">Implemented by the Ministry of Disabled People – Whaikaha from the day of the </w:t>
      </w:r>
      <w:proofErr w:type="gramStart"/>
      <w:r w:rsidRPr="002E74CD">
        <w:rPr>
          <w:rStyle w:val="Emphasis"/>
          <w:rFonts w:ascii="Roboto" w:eastAsiaTheme="majorEastAsia" w:hAnsi="Roboto"/>
        </w:rPr>
        <w:t>announcement</w:t>
      </w:r>
      <w:proofErr w:type="gramEnd"/>
    </w:p>
    <w:p w14:paraId="4CBCF048" w14:textId="77777777" w:rsidR="002E74CD" w:rsidRPr="002E74CD" w:rsidRDefault="002E74CD" w:rsidP="002E74CD">
      <w:pPr>
        <w:pStyle w:val="lead"/>
        <w:rPr>
          <w:rFonts w:ascii="Roboto" w:hAnsi="Roboto"/>
        </w:rPr>
      </w:pPr>
      <w:r w:rsidRPr="002E74CD">
        <w:rPr>
          <w:rStyle w:val="Strong"/>
          <w:rFonts w:ascii="Roboto" w:hAnsi="Roboto"/>
        </w:rPr>
        <w:t>This recommendation means there will be no price increase for providers in the 2024/25 financial year (to 30 June 2025).</w:t>
      </w:r>
    </w:p>
    <w:p w14:paraId="075AC6D0" w14:textId="77777777" w:rsidR="002E74CD" w:rsidRPr="002E74CD" w:rsidRDefault="002E74CD" w:rsidP="002E74CD">
      <w:pPr>
        <w:pStyle w:val="NormalWeb"/>
        <w:rPr>
          <w:rFonts w:ascii="Roboto" w:hAnsi="Roboto"/>
        </w:rPr>
      </w:pPr>
      <w:r w:rsidRPr="002E74CD">
        <w:rPr>
          <w:rFonts w:ascii="Roboto" w:hAnsi="Roboto"/>
        </w:rPr>
        <w:lastRenderedPageBreak/>
        <w:t>There will be no price increase for providers in the 2024/25 financial year (to 30 June 2025).</w:t>
      </w:r>
    </w:p>
    <w:p w14:paraId="4089C612" w14:textId="77777777" w:rsidR="002E74CD" w:rsidRPr="002E74CD" w:rsidRDefault="002E74CD" w:rsidP="002E74CD">
      <w:pPr>
        <w:pStyle w:val="Heading2"/>
      </w:pPr>
      <w:r w:rsidRPr="002E74CD">
        <w:t>Recommendation 4 | Monitor NASC and EGL sites</w:t>
      </w:r>
    </w:p>
    <w:p w14:paraId="00807656" w14:textId="77777777" w:rsidR="002E74CD" w:rsidRPr="002E74CD" w:rsidRDefault="002E74CD" w:rsidP="002E74CD">
      <w:pPr>
        <w:pStyle w:val="lead"/>
        <w:rPr>
          <w:rFonts w:ascii="Roboto" w:hAnsi="Roboto"/>
        </w:rPr>
      </w:pPr>
      <w:r w:rsidRPr="002E74CD">
        <w:rPr>
          <w:rStyle w:val="Strong"/>
          <w:rFonts w:ascii="Roboto" w:hAnsi="Roboto"/>
        </w:rPr>
        <w:t>Establish an effective function within the Ministry to monitor the assessment and allocation performance of Needs Assessment and Service Coordinators (NASCs) and Enabling Good Lives (EGL) sites.</w:t>
      </w:r>
    </w:p>
    <w:p w14:paraId="5B4873E4" w14:textId="77777777" w:rsidR="002E74CD" w:rsidRPr="002E74CD" w:rsidRDefault="002E74CD" w:rsidP="002E74CD">
      <w:pPr>
        <w:pStyle w:val="NormalWeb"/>
        <w:rPr>
          <w:rFonts w:ascii="Roboto" w:hAnsi="Roboto"/>
        </w:rPr>
      </w:pPr>
      <w:r w:rsidRPr="002E74CD">
        <w:rPr>
          <w:rFonts w:ascii="Roboto" w:hAnsi="Roboto"/>
        </w:rPr>
        <w:t>Recommendation 4 will be implemented by the Taskforce in the Ministry of Social Development.</w:t>
      </w:r>
    </w:p>
    <w:p w14:paraId="0592E9F1" w14:textId="77777777" w:rsidR="002E74CD" w:rsidRPr="002E74CD" w:rsidRDefault="002E74CD" w:rsidP="002E74CD">
      <w:pPr>
        <w:pStyle w:val="Heading2"/>
      </w:pPr>
      <w:r w:rsidRPr="002E74CD">
        <w:t>Recommendation 5 | Update assessment and allocation settings</w:t>
      </w:r>
    </w:p>
    <w:p w14:paraId="70258802" w14:textId="77777777" w:rsidR="002E74CD" w:rsidRPr="002E74CD" w:rsidRDefault="002E74CD" w:rsidP="002E74CD">
      <w:pPr>
        <w:pStyle w:val="lead"/>
        <w:rPr>
          <w:rFonts w:ascii="Roboto" w:hAnsi="Roboto"/>
        </w:rPr>
      </w:pPr>
      <w:r w:rsidRPr="002E74CD">
        <w:rPr>
          <w:rStyle w:val="Strong"/>
          <w:rFonts w:ascii="Roboto" w:hAnsi="Roboto"/>
        </w:rPr>
        <w:t>Update the assessment and allocation settings for individuals based on level of need.</w:t>
      </w:r>
    </w:p>
    <w:p w14:paraId="6ADF9D2D" w14:textId="77777777" w:rsidR="002E74CD" w:rsidRPr="002E74CD" w:rsidRDefault="002E74CD" w:rsidP="002E74CD">
      <w:pPr>
        <w:pStyle w:val="NormalWeb"/>
        <w:rPr>
          <w:rFonts w:ascii="Roboto" w:hAnsi="Roboto"/>
        </w:rPr>
      </w:pPr>
      <w:r w:rsidRPr="002E74CD">
        <w:rPr>
          <w:rFonts w:ascii="Roboto" w:hAnsi="Roboto"/>
        </w:rPr>
        <w:t>Recommendation 5 will be implemented by the Taskforce in the Ministry of Social Development.</w:t>
      </w:r>
    </w:p>
    <w:p w14:paraId="1F9DA948" w14:textId="77777777" w:rsidR="002E74CD" w:rsidRPr="002E74CD" w:rsidRDefault="002E74CD" w:rsidP="002E74CD">
      <w:pPr>
        <w:pStyle w:val="Heading2"/>
      </w:pPr>
      <w:r w:rsidRPr="002E74CD">
        <w:t xml:space="preserve">Recommendation 6 | Establish Flexible Funding criteria and review </w:t>
      </w:r>
      <w:proofErr w:type="gramStart"/>
      <w:r w:rsidRPr="002E74CD">
        <w:t>guidelines</w:t>
      </w:r>
      <w:proofErr w:type="gramEnd"/>
    </w:p>
    <w:p w14:paraId="7E73F237" w14:textId="77777777" w:rsidR="002E74CD" w:rsidRPr="002E74CD" w:rsidRDefault="002E74CD" w:rsidP="002E74CD">
      <w:pPr>
        <w:pStyle w:val="lead"/>
        <w:rPr>
          <w:rFonts w:ascii="Roboto" w:hAnsi="Roboto"/>
        </w:rPr>
      </w:pPr>
      <w:r w:rsidRPr="002E74CD">
        <w:rPr>
          <w:rStyle w:val="Strong"/>
          <w:rFonts w:ascii="Roboto" w:hAnsi="Roboto"/>
        </w:rPr>
        <w:t>Establish criteria for access to Flexible Funding and review the Flexible Funding guidelines to improve clarity and consistency.</w:t>
      </w:r>
    </w:p>
    <w:p w14:paraId="412017A0" w14:textId="77777777" w:rsidR="002E74CD" w:rsidRPr="002E74CD" w:rsidRDefault="002E74CD" w:rsidP="002E74CD">
      <w:pPr>
        <w:pStyle w:val="NormalWeb"/>
        <w:rPr>
          <w:rFonts w:ascii="Roboto" w:hAnsi="Roboto"/>
        </w:rPr>
      </w:pPr>
      <w:r w:rsidRPr="002E74CD">
        <w:rPr>
          <w:rFonts w:ascii="Roboto" w:hAnsi="Roboto"/>
        </w:rPr>
        <w:t>Recommendation 6 will be implemented by the Taskforce in the Ministry of Social Development.</w:t>
      </w:r>
    </w:p>
    <w:p w14:paraId="0737217B" w14:textId="77777777" w:rsidR="002E74CD" w:rsidRPr="002E74CD" w:rsidRDefault="002E74CD" w:rsidP="002E74CD">
      <w:pPr>
        <w:pStyle w:val="Heading2"/>
      </w:pPr>
      <w:r w:rsidRPr="002E74CD">
        <w:t xml:space="preserve">Recommendation 7 | Strengthen how we work with other </w:t>
      </w:r>
      <w:proofErr w:type="gramStart"/>
      <w:r w:rsidRPr="002E74CD">
        <w:t>agencies</w:t>
      </w:r>
      <w:proofErr w:type="gramEnd"/>
    </w:p>
    <w:p w14:paraId="690C22AE" w14:textId="77777777" w:rsidR="002E74CD" w:rsidRPr="002E74CD" w:rsidRDefault="002E74CD" w:rsidP="002E74CD">
      <w:pPr>
        <w:pStyle w:val="lead"/>
        <w:rPr>
          <w:rFonts w:ascii="Roboto" w:hAnsi="Roboto"/>
        </w:rPr>
      </w:pPr>
      <w:r w:rsidRPr="002E74CD">
        <w:rPr>
          <w:rStyle w:val="Strong"/>
          <w:rFonts w:ascii="Roboto" w:hAnsi="Roboto"/>
        </w:rPr>
        <w:t xml:space="preserve">Strengthen the departmental agency arrangement with Ministry of Social Development and the shared service agreements with MSD, Ministry of Health, and Health New Zealand | Te </w:t>
      </w:r>
      <w:proofErr w:type="spellStart"/>
      <w:r w:rsidRPr="002E74CD">
        <w:rPr>
          <w:rStyle w:val="Strong"/>
          <w:rFonts w:ascii="Roboto" w:hAnsi="Roboto"/>
        </w:rPr>
        <w:t>Whatu</w:t>
      </w:r>
      <w:proofErr w:type="spellEnd"/>
      <w:r w:rsidRPr="002E74CD">
        <w:rPr>
          <w:rStyle w:val="Strong"/>
          <w:rFonts w:ascii="Roboto" w:hAnsi="Roboto"/>
        </w:rPr>
        <w:t xml:space="preserve"> Ora.</w:t>
      </w:r>
    </w:p>
    <w:p w14:paraId="119B537E" w14:textId="77777777" w:rsidR="002E74CD" w:rsidRPr="002E74CD" w:rsidRDefault="002E74CD" w:rsidP="002E74CD">
      <w:pPr>
        <w:pStyle w:val="NormalWeb"/>
        <w:rPr>
          <w:rFonts w:ascii="Roboto" w:hAnsi="Roboto"/>
        </w:rPr>
      </w:pPr>
      <w:r w:rsidRPr="002E74CD">
        <w:rPr>
          <w:rStyle w:val="Emphasis"/>
          <w:rFonts w:ascii="Roboto" w:eastAsiaTheme="majorEastAsia" w:hAnsi="Roboto"/>
        </w:rPr>
        <w:t>To be implemented by Whaikaha and the Ministry of Social Development</w:t>
      </w:r>
    </w:p>
    <w:p w14:paraId="0EDEB9EE" w14:textId="77777777" w:rsidR="002E74CD" w:rsidRPr="002E74CD" w:rsidRDefault="002E74CD" w:rsidP="002E74CD">
      <w:pPr>
        <w:pStyle w:val="NormalWeb"/>
        <w:rPr>
          <w:rFonts w:ascii="Roboto" w:hAnsi="Roboto"/>
        </w:rPr>
      </w:pPr>
      <w:r w:rsidRPr="002E74CD">
        <w:rPr>
          <w:rFonts w:ascii="Roboto" w:hAnsi="Roboto"/>
        </w:rPr>
        <w:t xml:space="preserve">Whaikaha is currently a departmental agency of the Ministry of Social Development (MSD), and receives shared services from MSD, the Ministry of Health (MoH) and Health New Zealand | Te </w:t>
      </w:r>
      <w:proofErr w:type="spellStart"/>
      <w:r w:rsidRPr="002E74CD">
        <w:rPr>
          <w:rFonts w:ascii="Roboto" w:hAnsi="Roboto"/>
        </w:rPr>
        <w:t>Whatu</w:t>
      </w:r>
      <w:proofErr w:type="spellEnd"/>
      <w:r w:rsidRPr="002E74CD">
        <w:rPr>
          <w:rFonts w:ascii="Roboto" w:hAnsi="Roboto"/>
        </w:rPr>
        <w:t xml:space="preserve"> Ora (Health NZ).</w:t>
      </w:r>
    </w:p>
    <w:p w14:paraId="0CB41E77" w14:textId="77777777" w:rsidR="00660900" w:rsidRDefault="00660900" w:rsidP="002E74CD">
      <w:pPr>
        <w:pStyle w:val="NormalWeb"/>
        <w:rPr>
          <w:rFonts w:ascii="Roboto" w:hAnsi="Roboto"/>
        </w:rPr>
      </w:pPr>
    </w:p>
    <w:p w14:paraId="563CC22E" w14:textId="77777777" w:rsidR="00660900" w:rsidRDefault="00660900" w:rsidP="002E74CD">
      <w:pPr>
        <w:pStyle w:val="NormalWeb"/>
        <w:rPr>
          <w:rFonts w:ascii="Roboto" w:hAnsi="Roboto"/>
        </w:rPr>
      </w:pPr>
    </w:p>
    <w:p w14:paraId="2EC0C746" w14:textId="77777777" w:rsidR="00660900" w:rsidRDefault="00660900" w:rsidP="002E74CD">
      <w:pPr>
        <w:pStyle w:val="NormalWeb"/>
        <w:rPr>
          <w:rFonts w:ascii="Roboto" w:hAnsi="Roboto"/>
        </w:rPr>
      </w:pPr>
    </w:p>
    <w:p w14:paraId="77DBCDF5" w14:textId="77777777" w:rsidR="00660900" w:rsidRDefault="00660900" w:rsidP="002E74CD">
      <w:pPr>
        <w:pStyle w:val="NormalWeb"/>
        <w:rPr>
          <w:rFonts w:ascii="Roboto" w:hAnsi="Roboto"/>
        </w:rPr>
      </w:pPr>
    </w:p>
    <w:p w14:paraId="3338279F" w14:textId="77777777" w:rsidR="00660900" w:rsidRDefault="00660900" w:rsidP="002E74CD">
      <w:pPr>
        <w:pStyle w:val="NormalWeb"/>
        <w:rPr>
          <w:rFonts w:ascii="Roboto" w:hAnsi="Roboto"/>
        </w:rPr>
      </w:pPr>
    </w:p>
    <w:p w14:paraId="118F98EF" w14:textId="467936CD" w:rsidR="002E74CD" w:rsidRPr="002E74CD" w:rsidRDefault="002E74CD" w:rsidP="002E74CD">
      <w:pPr>
        <w:pStyle w:val="NormalWeb"/>
        <w:rPr>
          <w:rFonts w:ascii="Roboto" w:hAnsi="Roboto"/>
        </w:rPr>
      </w:pPr>
      <w:r w:rsidRPr="002E74CD">
        <w:rPr>
          <w:rFonts w:ascii="Roboto" w:hAnsi="Roboto"/>
        </w:rPr>
        <w:t>In response to this recommendation, Cabinet has agreed that the Ministry of Disabled People will be established as a standalone policy and monitoring agency, and that its disability support delivery functions will be moved into the Ministry of Social Development.</w:t>
      </w:r>
    </w:p>
    <w:p w14:paraId="4CEAC883" w14:textId="77777777" w:rsidR="002E74CD" w:rsidRPr="002E74CD" w:rsidRDefault="002E74CD" w:rsidP="002E74CD">
      <w:pPr>
        <w:pStyle w:val="NormalWeb"/>
        <w:rPr>
          <w:rFonts w:ascii="Roboto" w:hAnsi="Roboto"/>
        </w:rPr>
      </w:pPr>
      <w:r w:rsidRPr="002E74CD">
        <w:rPr>
          <w:rFonts w:ascii="Roboto" w:hAnsi="Roboto"/>
        </w:rPr>
        <w:t>The DSS operations function will transfer to MSD in mid-September with the remaining supporting functions of DSS to be transferred by the end of the year. Part of the transition work will be to consider the ongoing shared services agreements between all agencies.</w:t>
      </w:r>
    </w:p>
    <w:p w14:paraId="661B3290" w14:textId="77777777" w:rsidR="002E74CD" w:rsidRPr="002E74CD" w:rsidRDefault="002E74CD" w:rsidP="002E74CD">
      <w:pPr>
        <w:pStyle w:val="NormalWeb"/>
        <w:rPr>
          <w:rFonts w:ascii="Roboto" w:hAnsi="Roboto"/>
        </w:rPr>
      </w:pPr>
      <w:r w:rsidRPr="002E74CD">
        <w:rPr>
          <w:rFonts w:ascii="Roboto" w:hAnsi="Roboto"/>
        </w:rPr>
        <w:t>Strengthened role clarity will improve and strengthen the way the Ministry of Disabled People provides leadership to the disability sector.</w:t>
      </w:r>
    </w:p>
    <w:p w14:paraId="10112ECD" w14:textId="34A9A1AC" w:rsidR="002E74CD" w:rsidRPr="00660900" w:rsidRDefault="002E74CD" w:rsidP="00660900">
      <w:pPr>
        <w:pStyle w:val="NormalWeb"/>
        <w:rPr>
          <w:rFonts w:ascii="Roboto" w:hAnsi="Roboto"/>
        </w:rPr>
        <w:sectPr w:rsidR="002E74CD" w:rsidRPr="00660900" w:rsidSect="00E5186C">
          <w:headerReference w:type="even" r:id="rId8"/>
          <w:headerReference w:type="default" r:id="rId9"/>
          <w:footerReference w:type="even" r:id="rId10"/>
          <w:headerReference w:type="first" r:id="rId11"/>
          <w:pgSz w:w="11906" w:h="16838"/>
          <w:pgMar w:top="1134" w:right="1361" w:bottom="1134" w:left="1361" w:header="709" w:footer="737" w:gutter="0"/>
          <w:pgNumType w:start="1"/>
          <w:cols w:space="708"/>
          <w:docGrid w:linePitch="360"/>
        </w:sectPr>
      </w:pPr>
      <w:r w:rsidRPr="002E74CD">
        <w:rPr>
          <w:rFonts w:ascii="Roboto" w:hAnsi="Roboto"/>
        </w:rPr>
        <w:t>More detailed decisions on the scale and scope of the new standalone Ministry of Disabled People are expected by the end of 2024.</w:t>
      </w:r>
    </w:p>
    <w:p w14:paraId="13197EF0" w14:textId="18D3C68B" w:rsidR="00642B36" w:rsidRPr="002E74CD" w:rsidRDefault="00642B36" w:rsidP="00E5186C">
      <w:pPr>
        <w:spacing w:after="0" w:line="240" w:lineRule="auto"/>
      </w:pPr>
    </w:p>
    <w:sectPr w:rsidR="00642B36" w:rsidRPr="002E74CD" w:rsidSect="00E5186C">
      <w:pgSz w:w="11906" w:h="16838"/>
      <w:pgMar w:top="1440" w:right="1361" w:bottom="1134" w:left="1361" w:header="708" w:footer="4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A8DB" w14:textId="77777777" w:rsidR="00EB27CB" w:rsidRDefault="00EB27CB" w:rsidP="00B812CC">
      <w:r>
        <w:separator/>
      </w:r>
    </w:p>
    <w:p w14:paraId="087FD98A" w14:textId="77777777" w:rsidR="00EB27CB" w:rsidRDefault="00EB27CB" w:rsidP="00B812CC"/>
    <w:p w14:paraId="2BC93FE7" w14:textId="77777777" w:rsidR="00EB27CB" w:rsidRDefault="00EB27CB" w:rsidP="00B812CC"/>
    <w:p w14:paraId="62A5404E" w14:textId="77777777" w:rsidR="00EB27CB" w:rsidRDefault="00EB27CB" w:rsidP="00B812CC"/>
    <w:p w14:paraId="78A0E3CC" w14:textId="77777777" w:rsidR="00EB27CB" w:rsidRDefault="00EB27CB"/>
  </w:endnote>
  <w:endnote w:type="continuationSeparator" w:id="0">
    <w:p w14:paraId="4BFAF9D0" w14:textId="77777777" w:rsidR="00EB27CB" w:rsidRDefault="00EB27CB" w:rsidP="00B812CC">
      <w:r>
        <w:continuationSeparator/>
      </w:r>
    </w:p>
    <w:p w14:paraId="764E7BD2" w14:textId="77777777" w:rsidR="00EB27CB" w:rsidRDefault="00EB27CB" w:rsidP="00B812CC"/>
    <w:p w14:paraId="3BF130A2" w14:textId="77777777" w:rsidR="00EB27CB" w:rsidRDefault="00EB27CB" w:rsidP="00B812CC"/>
    <w:p w14:paraId="2EE38EBE" w14:textId="77777777" w:rsidR="00EB27CB" w:rsidRDefault="00EB27CB" w:rsidP="00B812CC"/>
    <w:p w14:paraId="6AE7EB55" w14:textId="77777777" w:rsidR="00EB27CB" w:rsidRDefault="00EB2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Verdana Pro Semibold">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641E" w14:textId="341E4C64" w:rsidR="00DB01CC" w:rsidRPr="009E20F2" w:rsidRDefault="00541DA4" w:rsidP="00B812CC">
    <w:pPr>
      <w:pStyle w:val="Footer"/>
    </w:pPr>
    <w:r w:rsidRPr="009E20F2">
      <w:t xml:space="preserve">Page </w:t>
    </w:r>
    <w:r w:rsidRPr="009E20F2">
      <w:fldChar w:fldCharType="begin"/>
    </w:r>
    <w:r w:rsidRPr="009E20F2">
      <w:instrText xml:space="preserve"> PAGE   \* MERGEFORMAT </w:instrText>
    </w:r>
    <w:r w:rsidRPr="009E20F2">
      <w:fldChar w:fldCharType="separate"/>
    </w:r>
    <w:r w:rsidR="00B812CC">
      <w:rPr>
        <w:noProof/>
      </w:rPr>
      <w:t>2</w:t>
    </w:r>
    <w:r w:rsidRPr="009E20F2">
      <w:rPr>
        <w:noProof/>
      </w:rPr>
      <w:fldChar w:fldCharType="end"/>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7B2FD" w14:textId="77777777" w:rsidR="00EB27CB" w:rsidRDefault="00EB27CB" w:rsidP="00B812CC">
      <w:r>
        <w:separator/>
      </w:r>
    </w:p>
    <w:p w14:paraId="5D6A71DE" w14:textId="77777777" w:rsidR="00EB27CB" w:rsidRDefault="00EB27CB" w:rsidP="00B812CC"/>
    <w:p w14:paraId="579F494F" w14:textId="77777777" w:rsidR="00EB27CB" w:rsidRDefault="00EB27CB" w:rsidP="00B812CC"/>
    <w:p w14:paraId="14CC389D" w14:textId="77777777" w:rsidR="00EB27CB" w:rsidRDefault="00EB27CB" w:rsidP="00B812CC"/>
    <w:p w14:paraId="79A49B80" w14:textId="77777777" w:rsidR="00EB27CB" w:rsidRDefault="00EB27CB"/>
  </w:footnote>
  <w:footnote w:type="continuationSeparator" w:id="0">
    <w:p w14:paraId="67F4EFC2" w14:textId="77777777" w:rsidR="00EB27CB" w:rsidRDefault="00EB27CB" w:rsidP="00B812CC">
      <w:r>
        <w:continuationSeparator/>
      </w:r>
    </w:p>
    <w:p w14:paraId="3A9EC83C" w14:textId="77777777" w:rsidR="00EB27CB" w:rsidRDefault="00EB27CB" w:rsidP="00B812CC"/>
    <w:p w14:paraId="787468B4" w14:textId="77777777" w:rsidR="00EB27CB" w:rsidRDefault="00EB27CB" w:rsidP="00B812CC"/>
    <w:p w14:paraId="24E1C976" w14:textId="77777777" w:rsidR="00EB27CB" w:rsidRDefault="00EB27CB" w:rsidP="00B812CC"/>
    <w:p w14:paraId="04FA8851" w14:textId="77777777" w:rsidR="00EB27CB" w:rsidRDefault="00EB2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6D2F" w14:textId="5803955D" w:rsidR="00643C1B" w:rsidRDefault="00643C1B">
    <w:pPr>
      <w:pStyle w:val="Header"/>
    </w:pPr>
    <w:r>
      <w:rPr>
        <w:noProof/>
      </w:rPr>
      <mc:AlternateContent>
        <mc:Choice Requires="wps">
          <w:drawing>
            <wp:anchor distT="0" distB="0" distL="0" distR="0" simplePos="0" relativeHeight="251662336" behindDoc="0" locked="0" layoutInCell="1" allowOverlap="1" wp14:anchorId="1C85E5AF" wp14:editId="48384A6A">
              <wp:simplePos x="914400" y="457200"/>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BC1FC7" w14:textId="2E1BE338" w:rsidR="00643C1B" w:rsidRPr="00643C1B" w:rsidRDefault="00643C1B" w:rsidP="00643C1B">
                          <w:pPr>
                            <w:spacing w:after="0"/>
                            <w:rPr>
                              <w:rFonts w:ascii="Calibri" w:hAnsi="Calibri" w:cs="Calibri"/>
                              <w:noProof/>
                              <w:color w:val="000000"/>
                              <w:sz w:val="20"/>
                            </w:rPr>
                          </w:pPr>
                          <w:r w:rsidRPr="00643C1B">
                            <w:rPr>
                              <w:rFonts w:ascii="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85E5AF" id="_x0000_t202" coordsize="21600,21600" o:spt="202" path="m,l,21600r21600,l21600,xe">
              <v:stroke joinstyle="miter"/>
              <v:path gradientshapeok="t" o:connecttype="rect"/>
            </v:shapetype>
            <v:shape id="Text Box 7" o:spid="_x0000_s1026"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ABC1FC7" w14:textId="2E1BE338" w:rsidR="00643C1B" w:rsidRPr="00643C1B" w:rsidRDefault="00643C1B" w:rsidP="00643C1B">
                    <w:pPr>
                      <w:spacing w:after="0"/>
                      <w:rPr>
                        <w:rFonts w:ascii="Calibri" w:hAnsi="Calibri" w:cs="Calibri"/>
                        <w:noProof/>
                        <w:color w:val="000000"/>
                        <w:sz w:val="20"/>
                      </w:rPr>
                    </w:pPr>
                    <w:r w:rsidRPr="00643C1B">
                      <w:rPr>
                        <w:rFonts w:ascii="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A4C4" w14:textId="22D7CE12" w:rsidR="00643C1B" w:rsidRDefault="00E5186C">
    <w:pPr>
      <w:pStyle w:val="Header"/>
    </w:pPr>
    <w:r w:rsidRPr="00486F48">
      <w:rPr>
        <w:noProof/>
        <w:color w:val="FFFFFF" w:themeColor="background1"/>
        <w:szCs w:val="96"/>
      </w:rPr>
      <w:drawing>
        <wp:anchor distT="0" distB="0" distL="114300" distR="114300" simplePos="0" relativeHeight="251665408" behindDoc="1" locked="0" layoutInCell="1" allowOverlap="1" wp14:anchorId="4C094275" wp14:editId="4FAD076A">
          <wp:simplePos x="0" y="0"/>
          <wp:positionH relativeFrom="margin">
            <wp:posOffset>-997585</wp:posOffset>
          </wp:positionH>
          <wp:positionV relativeFrom="paragraph">
            <wp:posOffset>-450215</wp:posOffset>
          </wp:positionV>
          <wp:extent cx="7551042" cy="10678130"/>
          <wp:effectExtent l="0" t="0" r="0" b="9525"/>
          <wp:wrapNone/>
          <wp:docPr id="168682647" name="Picture 1686826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443803" name="Picture 156944380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1042" cy="1067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643C1B">
      <w:rPr>
        <w:noProof/>
      </w:rPr>
      <mc:AlternateContent>
        <mc:Choice Requires="wps">
          <w:drawing>
            <wp:anchor distT="0" distB="0" distL="0" distR="0" simplePos="0" relativeHeight="251663360" behindDoc="0" locked="0" layoutInCell="1" allowOverlap="1" wp14:anchorId="5212536A" wp14:editId="2FD9FCB3">
              <wp:simplePos x="914400" y="457200"/>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ABF3D" w14:textId="198775FB" w:rsidR="00643C1B" w:rsidRPr="00643C1B" w:rsidRDefault="00643C1B" w:rsidP="00643C1B">
                          <w:pPr>
                            <w:spacing w:after="0"/>
                            <w:rPr>
                              <w:rFonts w:ascii="Calibri" w:hAnsi="Calibri" w:cs="Calibri"/>
                              <w:noProof/>
                              <w:color w:val="000000"/>
                              <w:sz w:val="20"/>
                            </w:rPr>
                          </w:pPr>
                          <w:r w:rsidRPr="00643C1B">
                            <w:rPr>
                              <w:rFonts w:ascii="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12536A" id="_x0000_t202" coordsize="21600,21600" o:spt="202" path="m,l,21600r21600,l21600,xe">
              <v:stroke joinstyle="miter"/>
              <v:path gradientshapeok="t" o:connecttype="rect"/>
            </v:shapetype>
            <v:shape id="Text Box 8" o:spid="_x0000_s1027"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7FABF3D" w14:textId="198775FB" w:rsidR="00643C1B" w:rsidRPr="00643C1B" w:rsidRDefault="00643C1B" w:rsidP="00643C1B">
                    <w:pPr>
                      <w:spacing w:after="0"/>
                      <w:rPr>
                        <w:rFonts w:ascii="Calibri" w:hAnsi="Calibri" w:cs="Calibri"/>
                        <w:noProof/>
                        <w:color w:val="000000"/>
                        <w:sz w:val="20"/>
                      </w:rPr>
                    </w:pPr>
                    <w:r w:rsidRPr="00643C1B">
                      <w:rPr>
                        <w:rFonts w:ascii="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3469" w14:textId="52107F5D" w:rsidR="00643C1B" w:rsidRDefault="00E5186C">
    <w:pPr>
      <w:pStyle w:val="Header"/>
    </w:pPr>
    <w:r w:rsidRPr="00486F48">
      <w:rPr>
        <w:noProof/>
        <w:color w:val="FFFFFF" w:themeColor="background1"/>
        <w:szCs w:val="96"/>
      </w:rPr>
      <w:drawing>
        <wp:anchor distT="0" distB="0" distL="114300" distR="114300" simplePos="0" relativeHeight="251667456" behindDoc="1" locked="0" layoutInCell="1" allowOverlap="1" wp14:anchorId="17F3365D" wp14:editId="45461D00">
          <wp:simplePos x="0" y="0"/>
          <wp:positionH relativeFrom="margin">
            <wp:posOffset>-854710</wp:posOffset>
          </wp:positionH>
          <wp:positionV relativeFrom="paragraph">
            <wp:posOffset>-449580</wp:posOffset>
          </wp:positionV>
          <wp:extent cx="7551042" cy="10678130"/>
          <wp:effectExtent l="0" t="0" r="0" b="9525"/>
          <wp:wrapNone/>
          <wp:docPr id="1365328555" name="Picture 13653285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386476" name="Picture 126538647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1042" cy="1067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643C1B">
      <w:rPr>
        <w:noProof/>
      </w:rPr>
      <mc:AlternateContent>
        <mc:Choice Requires="wps">
          <w:drawing>
            <wp:anchor distT="0" distB="0" distL="0" distR="0" simplePos="0" relativeHeight="251661312" behindDoc="0" locked="0" layoutInCell="1" allowOverlap="1" wp14:anchorId="5475D790" wp14:editId="0BA295E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D24199" w14:textId="1E2B8039" w:rsidR="00643C1B" w:rsidRPr="00643C1B" w:rsidRDefault="00643C1B" w:rsidP="00643C1B">
                          <w:pPr>
                            <w:spacing w:after="0"/>
                            <w:rPr>
                              <w:rFonts w:ascii="Calibri" w:hAnsi="Calibri" w:cs="Calibri"/>
                              <w:noProof/>
                              <w:color w:val="000000"/>
                              <w:sz w:val="20"/>
                            </w:rPr>
                          </w:pPr>
                          <w:r w:rsidRPr="00643C1B">
                            <w:rPr>
                              <w:rFonts w:ascii="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75D790" id="_x0000_t202" coordsize="21600,21600" o:spt="202" path="m,l,21600r21600,l21600,xe">
              <v:stroke joinstyle="miter"/>
              <v:path gradientshapeok="t" o:connecttype="rect"/>
            </v:shapetype>
            <v:shape id="Text Box 4" o:spid="_x0000_s1028"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5D24199" w14:textId="1E2B8039" w:rsidR="00643C1B" w:rsidRPr="00643C1B" w:rsidRDefault="00643C1B" w:rsidP="00643C1B">
                    <w:pPr>
                      <w:spacing w:after="0"/>
                      <w:rPr>
                        <w:rFonts w:ascii="Calibri" w:hAnsi="Calibri" w:cs="Calibri"/>
                        <w:noProof/>
                        <w:color w:val="000000"/>
                        <w:sz w:val="20"/>
                      </w:rPr>
                    </w:pPr>
                    <w:r w:rsidRPr="00643C1B">
                      <w:rPr>
                        <w:rFonts w:ascii="Calibri" w:hAnsi="Calibri" w:cs="Calibri"/>
                        <w:noProof/>
                        <w:color w:val="000000"/>
                        <w:sz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12AAB3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1AAED50"/>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07A576DD"/>
    <w:multiLevelType w:val="hybridMultilevel"/>
    <w:tmpl w:val="B33ECED0"/>
    <w:lvl w:ilvl="0" w:tplc="14090001">
      <w:start w:val="1"/>
      <w:numFmt w:val="bullet"/>
      <w:lvlText w:val=""/>
      <w:lvlJc w:val="left"/>
      <w:pPr>
        <w:ind w:left="1320" w:hanging="360"/>
      </w:pPr>
      <w:rPr>
        <w:rFonts w:ascii="Symbol" w:hAnsi="Symbol" w:hint="default"/>
      </w:rPr>
    </w:lvl>
    <w:lvl w:ilvl="1" w:tplc="14090003" w:tentative="1">
      <w:start w:val="1"/>
      <w:numFmt w:val="bullet"/>
      <w:lvlText w:val="o"/>
      <w:lvlJc w:val="left"/>
      <w:pPr>
        <w:ind w:left="2040" w:hanging="360"/>
      </w:pPr>
      <w:rPr>
        <w:rFonts w:ascii="Courier New" w:hAnsi="Courier New" w:cs="Courier New" w:hint="default"/>
      </w:rPr>
    </w:lvl>
    <w:lvl w:ilvl="2" w:tplc="14090005" w:tentative="1">
      <w:start w:val="1"/>
      <w:numFmt w:val="bullet"/>
      <w:lvlText w:val=""/>
      <w:lvlJc w:val="left"/>
      <w:pPr>
        <w:ind w:left="2760" w:hanging="360"/>
      </w:pPr>
      <w:rPr>
        <w:rFonts w:ascii="Wingdings" w:hAnsi="Wingdings" w:hint="default"/>
      </w:rPr>
    </w:lvl>
    <w:lvl w:ilvl="3" w:tplc="14090001" w:tentative="1">
      <w:start w:val="1"/>
      <w:numFmt w:val="bullet"/>
      <w:lvlText w:val=""/>
      <w:lvlJc w:val="left"/>
      <w:pPr>
        <w:ind w:left="3480" w:hanging="360"/>
      </w:pPr>
      <w:rPr>
        <w:rFonts w:ascii="Symbol" w:hAnsi="Symbol" w:hint="default"/>
      </w:rPr>
    </w:lvl>
    <w:lvl w:ilvl="4" w:tplc="14090003" w:tentative="1">
      <w:start w:val="1"/>
      <w:numFmt w:val="bullet"/>
      <w:lvlText w:val="o"/>
      <w:lvlJc w:val="left"/>
      <w:pPr>
        <w:ind w:left="4200" w:hanging="360"/>
      </w:pPr>
      <w:rPr>
        <w:rFonts w:ascii="Courier New" w:hAnsi="Courier New" w:cs="Courier New" w:hint="default"/>
      </w:rPr>
    </w:lvl>
    <w:lvl w:ilvl="5" w:tplc="14090005" w:tentative="1">
      <w:start w:val="1"/>
      <w:numFmt w:val="bullet"/>
      <w:lvlText w:val=""/>
      <w:lvlJc w:val="left"/>
      <w:pPr>
        <w:ind w:left="4920" w:hanging="360"/>
      </w:pPr>
      <w:rPr>
        <w:rFonts w:ascii="Wingdings" w:hAnsi="Wingdings" w:hint="default"/>
      </w:rPr>
    </w:lvl>
    <w:lvl w:ilvl="6" w:tplc="14090001" w:tentative="1">
      <w:start w:val="1"/>
      <w:numFmt w:val="bullet"/>
      <w:lvlText w:val=""/>
      <w:lvlJc w:val="left"/>
      <w:pPr>
        <w:ind w:left="5640" w:hanging="360"/>
      </w:pPr>
      <w:rPr>
        <w:rFonts w:ascii="Symbol" w:hAnsi="Symbol" w:hint="default"/>
      </w:rPr>
    </w:lvl>
    <w:lvl w:ilvl="7" w:tplc="14090003" w:tentative="1">
      <w:start w:val="1"/>
      <w:numFmt w:val="bullet"/>
      <w:lvlText w:val="o"/>
      <w:lvlJc w:val="left"/>
      <w:pPr>
        <w:ind w:left="6360" w:hanging="360"/>
      </w:pPr>
      <w:rPr>
        <w:rFonts w:ascii="Courier New" w:hAnsi="Courier New" w:cs="Courier New" w:hint="default"/>
      </w:rPr>
    </w:lvl>
    <w:lvl w:ilvl="8" w:tplc="14090005" w:tentative="1">
      <w:start w:val="1"/>
      <w:numFmt w:val="bullet"/>
      <w:lvlText w:val=""/>
      <w:lvlJc w:val="left"/>
      <w:pPr>
        <w:ind w:left="7080" w:hanging="360"/>
      </w:pPr>
      <w:rPr>
        <w:rFonts w:ascii="Wingdings" w:hAnsi="Wingdings" w:hint="default"/>
      </w:rPr>
    </w:lvl>
  </w:abstractNum>
  <w:abstractNum w:abstractNumId="3" w15:restartNumberingAfterBreak="0">
    <w:nsid w:val="091F0CBB"/>
    <w:multiLevelType w:val="multilevel"/>
    <w:tmpl w:val="1D36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60A34"/>
    <w:multiLevelType w:val="hybridMultilevel"/>
    <w:tmpl w:val="A058D58C"/>
    <w:lvl w:ilvl="0" w:tplc="14090003">
      <w:start w:val="1"/>
      <w:numFmt w:val="bullet"/>
      <w:pStyle w:val="Bullet2"/>
      <w:lvlText w:val="o"/>
      <w:lvlJc w:val="left"/>
      <w:pPr>
        <w:tabs>
          <w:tab w:val="num" w:pos="797"/>
        </w:tabs>
        <w:ind w:left="797" w:hanging="360"/>
      </w:pPr>
      <w:rPr>
        <w:rFonts w:ascii="Courier New" w:hAnsi="Courier New" w:cs="Courier New" w:hint="default"/>
      </w:rPr>
    </w:lvl>
    <w:lvl w:ilvl="1" w:tplc="DB98F82E">
      <w:start w:val="1"/>
      <w:numFmt w:val="bullet"/>
      <w:pStyle w:val="Bullet3"/>
      <w:lvlText w:val=""/>
      <w:lvlJc w:val="left"/>
      <w:pPr>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1D6438"/>
    <w:multiLevelType w:val="multilevel"/>
    <w:tmpl w:val="1A62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2475A"/>
    <w:multiLevelType w:val="hybridMultilevel"/>
    <w:tmpl w:val="6248C8DE"/>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8517F1"/>
    <w:multiLevelType w:val="hybridMultilevel"/>
    <w:tmpl w:val="71F8C790"/>
    <w:lvl w:ilvl="0" w:tplc="5CBE4E8E">
      <w:start w:val="1"/>
      <w:numFmt w:val="bullet"/>
      <w:lvlText w:val="•"/>
      <w:lvlJc w:val="left"/>
      <w:pPr>
        <w:tabs>
          <w:tab w:val="num" w:pos="720"/>
        </w:tabs>
        <w:ind w:left="720" w:hanging="360"/>
      </w:pPr>
      <w:rPr>
        <w:rFonts w:ascii="Arial" w:hAnsi="Arial" w:hint="default"/>
      </w:rPr>
    </w:lvl>
    <w:lvl w:ilvl="1" w:tplc="1FEABD92">
      <w:numFmt w:val="bullet"/>
      <w:lvlText w:val="–"/>
      <w:lvlJc w:val="left"/>
      <w:pPr>
        <w:tabs>
          <w:tab w:val="num" w:pos="1440"/>
        </w:tabs>
        <w:ind w:left="1440" w:hanging="360"/>
      </w:pPr>
      <w:rPr>
        <w:rFonts w:ascii="Arial" w:hAnsi="Arial" w:hint="default"/>
      </w:rPr>
    </w:lvl>
    <w:lvl w:ilvl="2" w:tplc="36942D64" w:tentative="1">
      <w:start w:val="1"/>
      <w:numFmt w:val="bullet"/>
      <w:lvlText w:val="•"/>
      <w:lvlJc w:val="left"/>
      <w:pPr>
        <w:tabs>
          <w:tab w:val="num" w:pos="2160"/>
        </w:tabs>
        <w:ind w:left="2160" w:hanging="360"/>
      </w:pPr>
      <w:rPr>
        <w:rFonts w:ascii="Arial" w:hAnsi="Arial" w:hint="default"/>
      </w:rPr>
    </w:lvl>
    <w:lvl w:ilvl="3" w:tplc="D1FC33CE" w:tentative="1">
      <w:start w:val="1"/>
      <w:numFmt w:val="bullet"/>
      <w:lvlText w:val="•"/>
      <w:lvlJc w:val="left"/>
      <w:pPr>
        <w:tabs>
          <w:tab w:val="num" w:pos="2880"/>
        </w:tabs>
        <w:ind w:left="2880" w:hanging="360"/>
      </w:pPr>
      <w:rPr>
        <w:rFonts w:ascii="Arial" w:hAnsi="Arial" w:hint="default"/>
      </w:rPr>
    </w:lvl>
    <w:lvl w:ilvl="4" w:tplc="C53E5EA4" w:tentative="1">
      <w:start w:val="1"/>
      <w:numFmt w:val="bullet"/>
      <w:lvlText w:val="•"/>
      <w:lvlJc w:val="left"/>
      <w:pPr>
        <w:tabs>
          <w:tab w:val="num" w:pos="3600"/>
        </w:tabs>
        <w:ind w:left="3600" w:hanging="360"/>
      </w:pPr>
      <w:rPr>
        <w:rFonts w:ascii="Arial" w:hAnsi="Arial" w:hint="default"/>
      </w:rPr>
    </w:lvl>
    <w:lvl w:ilvl="5" w:tplc="0FC0BDD4" w:tentative="1">
      <w:start w:val="1"/>
      <w:numFmt w:val="bullet"/>
      <w:lvlText w:val="•"/>
      <w:lvlJc w:val="left"/>
      <w:pPr>
        <w:tabs>
          <w:tab w:val="num" w:pos="4320"/>
        </w:tabs>
        <w:ind w:left="4320" w:hanging="360"/>
      </w:pPr>
      <w:rPr>
        <w:rFonts w:ascii="Arial" w:hAnsi="Arial" w:hint="default"/>
      </w:rPr>
    </w:lvl>
    <w:lvl w:ilvl="6" w:tplc="040C7F86" w:tentative="1">
      <w:start w:val="1"/>
      <w:numFmt w:val="bullet"/>
      <w:lvlText w:val="•"/>
      <w:lvlJc w:val="left"/>
      <w:pPr>
        <w:tabs>
          <w:tab w:val="num" w:pos="5040"/>
        </w:tabs>
        <w:ind w:left="5040" w:hanging="360"/>
      </w:pPr>
      <w:rPr>
        <w:rFonts w:ascii="Arial" w:hAnsi="Arial" w:hint="default"/>
      </w:rPr>
    </w:lvl>
    <w:lvl w:ilvl="7" w:tplc="D08AF974" w:tentative="1">
      <w:start w:val="1"/>
      <w:numFmt w:val="bullet"/>
      <w:lvlText w:val="•"/>
      <w:lvlJc w:val="left"/>
      <w:pPr>
        <w:tabs>
          <w:tab w:val="num" w:pos="5760"/>
        </w:tabs>
        <w:ind w:left="5760" w:hanging="360"/>
      </w:pPr>
      <w:rPr>
        <w:rFonts w:ascii="Arial" w:hAnsi="Arial" w:hint="default"/>
      </w:rPr>
    </w:lvl>
    <w:lvl w:ilvl="8" w:tplc="8228C9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E7304E"/>
    <w:multiLevelType w:val="multilevel"/>
    <w:tmpl w:val="D618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7957AF"/>
    <w:multiLevelType w:val="multilevel"/>
    <w:tmpl w:val="58A2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3" w15:restartNumberingAfterBreak="0">
    <w:nsid w:val="4E501252"/>
    <w:multiLevelType w:val="multilevel"/>
    <w:tmpl w:val="FDC8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782878"/>
    <w:multiLevelType w:val="multilevel"/>
    <w:tmpl w:val="91BA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507F4B"/>
    <w:multiLevelType w:val="multilevel"/>
    <w:tmpl w:val="7024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D597C"/>
    <w:multiLevelType w:val="multilevel"/>
    <w:tmpl w:val="87C6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18"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BD7D7C"/>
    <w:multiLevelType w:val="hybridMultilevel"/>
    <w:tmpl w:val="A82C09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D7A5885"/>
    <w:multiLevelType w:val="hybridMultilevel"/>
    <w:tmpl w:val="7938F8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E023462"/>
    <w:multiLevelType w:val="hybridMultilevel"/>
    <w:tmpl w:val="AF96AD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11C4174"/>
    <w:multiLevelType w:val="hybridMultilevel"/>
    <w:tmpl w:val="A482AE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1425B79"/>
    <w:multiLevelType w:val="multilevel"/>
    <w:tmpl w:val="D8F2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75658A"/>
    <w:multiLevelType w:val="multilevel"/>
    <w:tmpl w:val="70AA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848DC"/>
    <w:multiLevelType w:val="hybridMultilevel"/>
    <w:tmpl w:val="C798A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7725EE5"/>
    <w:multiLevelType w:val="hybridMultilevel"/>
    <w:tmpl w:val="818692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98F4611"/>
    <w:multiLevelType w:val="multilevel"/>
    <w:tmpl w:val="66A0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192E5E"/>
    <w:multiLevelType w:val="hybridMultilevel"/>
    <w:tmpl w:val="1D7ECA2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CF04AD7"/>
    <w:multiLevelType w:val="hybridMultilevel"/>
    <w:tmpl w:val="D7BCD2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E0D1CC7"/>
    <w:multiLevelType w:val="multilevel"/>
    <w:tmpl w:val="62561004"/>
    <w:styleLink w:val="CurrentList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60038072">
    <w:abstractNumId w:val="12"/>
  </w:num>
  <w:num w:numId="2" w16cid:durableId="1091314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9745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8631104">
    <w:abstractNumId w:val="6"/>
  </w:num>
  <w:num w:numId="5" w16cid:durableId="42875152">
    <w:abstractNumId w:val="1"/>
  </w:num>
  <w:num w:numId="6" w16cid:durableId="988707013">
    <w:abstractNumId w:val="0"/>
  </w:num>
  <w:num w:numId="7" w16cid:durableId="185602780">
    <w:abstractNumId w:val="18"/>
  </w:num>
  <w:num w:numId="8" w16cid:durableId="147221568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606589">
    <w:abstractNumId w:val="1"/>
  </w:num>
  <w:num w:numId="10" w16cid:durableId="1535078731">
    <w:abstractNumId w:val="5"/>
  </w:num>
  <w:num w:numId="11" w16cid:durableId="645007926">
    <w:abstractNumId w:val="22"/>
  </w:num>
  <w:num w:numId="12" w16cid:durableId="1287853512">
    <w:abstractNumId w:val="4"/>
  </w:num>
  <w:num w:numId="13" w16cid:durableId="1105729138">
    <w:abstractNumId w:val="30"/>
  </w:num>
  <w:num w:numId="14" w16cid:durableId="778572090">
    <w:abstractNumId w:val="28"/>
  </w:num>
  <w:num w:numId="15" w16cid:durableId="1178303107">
    <w:abstractNumId w:val="9"/>
  </w:num>
  <w:num w:numId="16" w16cid:durableId="162012599">
    <w:abstractNumId w:val="8"/>
  </w:num>
  <w:num w:numId="17" w16cid:durableId="1284581250">
    <w:abstractNumId w:val="25"/>
  </w:num>
  <w:num w:numId="18" w16cid:durableId="96294235">
    <w:abstractNumId w:val="19"/>
  </w:num>
  <w:num w:numId="19" w16cid:durableId="1816414141">
    <w:abstractNumId w:val="21"/>
  </w:num>
  <w:num w:numId="20" w16cid:durableId="1733577160">
    <w:abstractNumId w:val="24"/>
  </w:num>
  <w:num w:numId="21" w16cid:durableId="2113157984">
    <w:abstractNumId w:val="11"/>
  </w:num>
  <w:num w:numId="22" w16cid:durableId="97915129">
    <w:abstractNumId w:val="3"/>
  </w:num>
  <w:num w:numId="23" w16cid:durableId="1877960194">
    <w:abstractNumId w:val="10"/>
  </w:num>
  <w:num w:numId="24" w16cid:durableId="981151339">
    <w:abstractNumId w:val="7"/>
  </w:num>
  <w:num w:numId="25" w16cid:durableId="1005743957">
    <w:abstractNumId w:val="27"/>
  </w:num>
  <w:num w:numId="26" w16cid:durableId="1302921838">
    <w:abstractNumId w:val="13"/>
  </w:num>
  <w:num w:numId="27" w16cid:durableId="856770810">
    <w:abstractNumId w:val="15"/>
  </w:num>
  <w:num w:numId="28" w16cid:durableId="1551113360">
    <w:abstractNumId w:val="29"/>
  </w:num>
  <w:num w:numId="29" w16cid:durableId="1970359219">
    <w:abstractNumId w:val="20"/>
  </w:num>
  <w:num w:numId="30" w16cid:durableId="840899188">
    <w:abstractNumId w:val="2"/>
  </w:num>
  <w:num w:numId="31" w16cid:durableId="275988926">
    <w:abstractNumId w:val="23"/>
  </w:num>
  <w:num w:numId="32" w16cid:durableId="595138492">
    <w:abstractNumId w:val="14"/>
  </w:num>
  <w:num w:numId="33" w16cid:durableId="520318098">
    <w:abstractNumId w:val="26"/>
  </w:num>
  <w:num w:numId="34" w16cid:durableId="12394862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CA"/>
    <w:rsid w:val="00000B4C"/>
    <w:rsid w:val="000052C1"/>
    <w:rsid w:val="000106D0"/>
    <w:rsid w:val="000130D7"/>
    <w:rsid w:val="00037CB0"/>
    <w:rsid w:val="0004240D"/>
    <w:rsid w:val="00045B4C"/>
    <w:rsid w:val="00046B29"/>
    <w:rsid w:val="00072106"/>
    <w:rsid w:val="000C5C9B"/>
    <w:rsid w:val="000E3BB9"/>
    <w:rsid w:val="00106AED"/>
    <w:rsid w:val="001136D5"/>
    <w:rsid w:val="00121DA1"/>
    <w:rsid w:val="001308D6"/>
    <w:rsid w:val="00151526"/>
    <w:rsid w:val="00187357"/>
    <w:rsid w:val="001C74CA"/>
    <w:rsid w:val="001D1F28"/>
    <w:rsid w:val="001D3744"/>
    <w:rsid w:val="001D507A"/>
    <w:rsid w:val="001F084D"/>
    <w:rsid w:val="0020174E"/>
    <w:rsid w:val="00210B03"/>
    <w:rsid w:val="00213DA6"/>
    <w:rsid w:val="00216302"/>
    <w:rsid w:val="00216BA5"/>
    <w:rsid w:val="00226612"/>
    <w:rsid w:val="002304B5"/>
    <w:rsid w:val="00245A2B"/>
    <w:rsid w:val="00296B0F"/>
    <w:rsid w:val="002A4839"/>
    <w:rsid w:val="002B0645"/>
    <w:rsid w:val="002C5548"/>
    <w:rsid w:val="002D1C62"/>
    <w:rsid w:val="002E6786"/>
    <w:rsid w:val="002E74CD"/>
    <w:rsid w:val="00312697"/>
    <w:rsid w:val="00314DB1"/>
    <w:rsid w:val="00317D0D"/>
    <w:rsid w:val="003472DE"/>
    <w:rsid w:val="00354EC2"/>
    <w:rsid w:val="003808D9"/>
    <w:rsid w:val="00392AFE"/>
    <w:rsid w:val="003B4E71"/>
    <w:rsid w:val="003C3B31"/>
    <w:rsid w:val="003E3302"/>
    <w:rsid w:val="00414E8A"/>
    <w:rsid w:val="00420EEE"/>
    <w:rsid w:val="004227ED"/>
    <w:rsid w:val="00445BCE"/>
    <w:rsid w:val="00454F25"/>
    <w:rsid w:val="00474273"/>
    <w:rsid w:val="00486F48"/>
    <w:rsid w:val="004C0AC6"/>
    <w:rsid w:val="00533E65"/>
    <w:rsid w:val="00541DA4"/>
    <w:rsid w:val="0056681E"/>
    <w:rsid w:val="00570817"/>
    <w:rsid w:val="00572AA9"/>
    <w:rsid w:val="00573C0A"/>
    <w:rsid w:val="00584F02"/>
    <w:rsid w:val="00595906"/>
    <w:rsid w:val="005B11F9"/>
    <w:rsid w:val="005B1C12"/>
    <w:rsid w:val="005B3EB7"/>
    <w:rsid w:val="005C7E68"/>
    <w:rsid w:val="005E71D1"/>
    <w:rsid w:val="005F528B"/>
    <w:rsid w:val="006207F6"/>
    <w:rsid w:val="00631D73"/>
    <w:rsid w:val="0063448D"/>
    <w:rsid w:val="0063502A"/>
    <w:rsid w:val="00642B36"/>
    <w:rsid w:val="00643C1B"/>
    <w:rsid w:val="00660900"/>
    <w:rsid w:val="0066419D"/>
    <w:rsid w:val="006675CB"/>
    <w:rsid w:val="006A39FA"/>
    <w:rsid w:val="006C5072"/>
    <w:rsid w:val="006F3AB6"/>
    <w:rsid w:val="0070040B"/>
    <w:rsid w:val="00706C68"/>
    <w:rsid w:val="00710AC5"/>
    <w:rsid w:val="00733387"/>
    <w:rsid w:val="0075020F"/>
    <w:rsid w:val="007525AF"/>
    <w:rsid w:val="007814CC"/>
    <w:rsid w:val="007B201A"/>
    <w:rsid w:val="0080498F"/>
    <w:rsid w:val="00820BA6"/>
    <w:rsid w:val="00821A10"/>
    <w:rsid w:val="00827615"/>
    <w:rsid w:val="0085194C"/>
    <w:rsid w:val="00860654"/>
    <w:rsid w:val="0089060C"/>
    <w:rsid w:val="008C1671"/>
    <w:rsid w:val="008C4B1D"/>
    <w:rsid w:val="008E22FB"/>
    <w:rsid w:val="008F5E31"/>
    <w:rsid w:val="008F70CB"/>
    <w:rsid w:val="00903467"/>
    <w:rsid w:val="00906EAA"/>
    <w:rsid w:val="009551AD"/>
    <w:rsid w:val="00964FD8"/>
    <w:rsid w:val="00970DD2"/>
    <w:rsid w:val="00980756"/>
    <w:rsid w:val="00981737"/>
    <w:rsid w:val="00984549"/>
    <w:rsid w:val="009B7419"/>
    <w:rsid w:val="009C7FED"/>
    <w:rsid w:val="009D15F1"/>
    <w:rsid w:val="009D2B10"/>
    <w:rsid w:val="009E20F2"/>
    <w:rsid w:val="009E2D81"/>
    <w:rsid w:val="009E3D6F"/>
    <w:rsid w:val="009F3857"/>
    <w:rsid w:val="009F58BC"/>
    <w:rsid w:val="00A017E9"/>
    <w:rsid w:val="00A13189"/>
    <w:rsid w:val="00A16CAD"/>
    <w:rsid w:val="00A339FA"/>
    <w:rsid w:val="00A35350"/>
    <w:rsid w:val="00A37207"/>
    <w:rsid w:val="00A43896"/>
    <w:rsid w:val="00A53872"/>
    <w:rsid w:val="00A56424"/>
    <w:rsid w:val="00A6244E"/>
    <w:rsid w:val="00A95FE8"/>
    <w:rsid w:val="00A97F5D"/>
    <w:rsid w:val="00AD7ABD"/>
    <w:rsid w:val="00AE22A9"/>
    <w:rsid w:val="00AF4301"/>
    <w:rsid w:val="00B0242D"/>
    <w:rsid w:val="00B05301"/>
    <w:rsid w:val="00B06461"/>
    <w:rsid w:val="00B16010"/>
    <w:rsid w:val="00B3270D"/>
    <w:rsid w:val="00B41635"/>
    <w:rsid w:val="00B45531"/>
    <w:rsid w:val="00B50C3C"/>
    <w:rsid w:val="00B5357A"/>
    <w:rsid w:val="00B55614"/>
    <w:rsid w:val="00B70DC7"/>
    <w:rsid w:val="00B812CC"/>
    <w:rsid w:val="00BA1BB2"/>
    <w:rsid w:val="00BF6828"/>
    <w:rsid w:val="00BF7F79"/>
    <w:rsid w:val="00C13B53"/>
    <w:rsid w:val="00C145DD"/>
    <w:rsid w:val="00C22902"/>
    <w:rsid w:val="00C24EE2"/>
    <w:rsid w:val="00C32537"/>
    <w:rsid w:val="00C5215F"/>
    <w:rsid w:val="00C67C42"/>
    <w:rsid w:val="00C93D10"/>
    <w:rsid w:val="00C93F62"/>
    <w:rsid w:val="00CA2984"/>
    <w:rsid w:val="00CA2D82"/>
    <w:rsid w:val="00CA5164"/>
    <w:rsid w:val="00CB496C"/>
    <w:rsid w:val="00CB4A28"/>
    <w:rsid w:val="00CE0551"/>
    <w:rsid w:val="00CF09EA"/>
    <w:rsid w:val="00D21FBC"/>
    <w:rsid w:val="00D261EC"/>
    <w:rsid w:val="00D31036"/>
    <w:rsid w:val="00D320DE"/>
    <w:rsid w:val="00D34EA0"/>
    <w:rsid w:val="00D46FB9"/>
    <w:rsid w:val="00D716CE"/>
    <w:rsid w:val="00D83283"/>
    <w:rsid w:val="00D8664E"/>
    <w:rsid w:val="00D96746"/>
    <w:rsid w:val="00D96D3A"/>
    <w:rsid w:val="00D96EC5"/>
    <w:rsid w:val="00DA1256"/>
    <w:rsid w:val="00DB01CC"/>
    <w:rsid w:val="00DC30ED"/>
    <w:rsid w:val="00DC7E96"/>
    <w:rsid w:val="00DD7526"/>
    <w:rsid w:val="00E06F0D"/>
    <w:rsid w:val="00E5186C"/>
    <w:rsid w:val="00E60F64"/>
    <w:rsid w:val="00E671C3"/>
    <w:rsid w:val="00E86180"/>
    <w:rsid w:val="00E90142"/>
    <w:rsid w:val="00E9269E"/>
    <w:rsid w:val="00EA75D0"/>
    <w:rsid w:val="00EB27CB"/>
    <w:rsid w:val="00EB2D7C"/>
    <w:rsid w:val="00EC2CE7"/>
    <w:rsid w:val="00ED3ACF"/>
    <w:rsid w:val="00ED41B9"/>
    <w:rsid w:val="00F06EE8"/>
    <w:rsid w:val="00F07349"/>
    <w:rsid w:val="00F167CA"/>
    <w:rsid w:val="00F22AE5"/>
    <w:rsid w:val="00F926FD"/>
    <w:rsid w:val="00F92F6A"/>
    <w:rsid w:val="00F940E5"/>
    <w:rsid w:val="00FA02F2"/>
    <w:rsid w:val="00FF78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AB44A"/>
  <w15:docId w15:val="{1F709B82-8FBE-504A-8005-597D7C7F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locked="1"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207"/>
    <w:pPr>
      <w:spacing w:after="120" w:line="288" w:lineRule="auto"/>
    </w:pPr>
    <w:rPr>
      <w:rFonts w:ascii="Roboto" w:hAnsi="Roboto" w:cs="Arial"/>
      <w:kern w:val="28"/>
      <w:sz w:val="24"/>
    </w:rPr>
  </w:style>
  <w:style w:type="paragraph" w:styleId="Heading1">
    <w:name w:val="heading 1"/>
    <w:basedOn w:val="Normal"/>
    <w:next w:val="Normal"/>
    <w:link w:val="Heading1Char"/>
    <w:uiPriority w:val="99"/>
    <w:qFormat/>
    <w:rsid w:val="00E5186C"/>
    <w:pPr>
      <w:keepNext/>
      <w:keepLines/>
      <w:spacing w:before="400" w:after="240"/>
      <w:outlineLvl w:val="0"/>
    </w:pPr>
    <w:rPr>
      <w:rFonts w:eastAsiaTheme="majorEastAsia"/>
      <w:b/>
      <w:bCs/>
      <w:color w:val="404040" w:themeColor="text1" w:themeTint="BF"/>
      <w:kern w:val="0"/>
      <w:sz w:val="72"/>
      <w:szCs w:val="28"/>
    </w:rPr>
  </w:style>
  <w:style w:type="paragraph" w:styleId="Heading2">
    <w:name w:val="heading 2"/>
    <w:basedOn w:val="Normal"/>
    <w:next w:val="Normal"/>
    <w:link w:val="Heading2Char"/>
    <w:uiPriority w:val="99"/>
    <w:qFormat/>
    <w:rsid w:val="00A37207"/>
    <w:pPr>
      <w:spacing w:before="240" w:after="240" w:line="240" w:lineRule="auto"/>
      <w:outlineLvl w:val="1"/>
    </w:pPr>
    <w:rPr>
      <w:b/>
      <w:color w:val="2C602F"/>
      <w:sz w:val="40"/>
      <w:szCs w:val="28"/>
    </w:rPr>
  </w:style>
  <w:style w:type="paragraph" w:styleId="Heading3">
    <w:name w:val="heading 3"/>
    <w:basedOn w:val="Normal"/>
    <w:next w:val="Normal"/>
    <w:link w:val="Heading3Char"/>
    <w:uiPriority w:val="99"/>
    <w:qFormat/>
    <w:rsid w:val="001136D5"/>
    <w:pPr>
      <w:keepNext/>
      <w:keepLines/>
      <w:spacing w:before="240"/>
      <w:outlineLvl w:val="2"/>
    </w:pPr>
    <w:rPr>
      <w:rFonts w:eastAsiaTheme="majorEastAsia"/>
      <w:b/>
      <w:bCs/>
      <w:color w:val="2C602F" w:themeColor="text2"/>
      <w:kern w:val="0"/>
      <w:sz w:val="36"/>
      <w:szCs w:val="24"/>
      <w:lang w:eastAsia="en-AU"/>
    </w:rPr>
  </w:style>
  <w:style w:type="paragraph" w:styleId="Heading4">
    <w:name w:val="heading 4"/>
    <w:basedOn w:val="Normal"/>
    <w:next w:val="Normal"/>
    <w:link w:val="Heading4Char"/>
    <w:uiPriority w:val="99"/>
    <w:qFormat/>
    <w:rsid w:val="001136D5"/>
    <w:pPr>
      <w:keepNext/>
      <w:keepLines/>
      <w:spacing w:before="240"/>
      <w:outlineLvl w:val="3"/>
    </w:pPr>
    <w:rPr>
      <w:rFonts w:eastAsiaTheme="majorEastAsia" w:cs="Times New Roman"/>
      <w:b/>
      <w:bCs/>
      <w:iCs/>
      <w:color w:val="2C602F" w:themeColor="text2"/>
      <w:kern w:val="0"/>
      <w:sz w:val="32"/>
    </w:rPr>
  </w:style>
  <w:style w:type="paragraph" w:styleId="Heading5">
    <w:name w:val="heading 5"/>
    <w:basedOn w:val="Normal"/>
    <w:next w:val="Normal"/>
    <w:link w:val="Heading5Char"/>
    <w:uiPriority w:val="9"/>
    <w:unhideWhenUsed/>
    <w:rsid w:val="001136D5"/>
    <w:pPr>
      <w:keepNext/>
      <w:keepLines/>
      <w:spacing w:before="200"/>
      <w:outlineLvl w:val="4"/>
    </w:pPr>
    <w:rPr>
      <w:rFonts w:eastAsiaTheme="majorEastAsia" w:cstheme="majorBidi"/>
      <w:b/>
      <w:color w:val="2C602F" w:themeColor="text2"/>
      <w:sz w:val="28"/>
    </w:rPr>
  </w:style>
  <w:style w:type="paragraph" w:styleId="Heading6">
    <w:name w:val="heading 6"/>
    <w:basedOn w:val="Normal"/>
    <w:next w:val="Normal"/>
    <w:link w:val="Heading6Char"/>
    <w:uiPriority w:val="9"/>
    <w:unhideWhenUsed/>
    <w:locked/>
    <w:rsid w:val="001136D5"/>
    <w:pPr>
      <w:keepNext/>
      <w:keepLines/>
      <w:spacing w:before="40" w:after="0"/>
      <w:outlineLvl w:val="5"/>
    </w:pPr>
    <w:rPr>
      <w:rFonts w:eastAsiaTheme="majorEastAsia" w:cstheme="majorBidi"/>
      <w:b/>
      <w:color w:val="2C602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5186C"/>
    <w:rPr>
      <w:rFonts w:ascii="Roboto" w:eastAsiaTheme="majorEastAsia" w:hAnsi="Roboto" w:cs="Arial"/>
      <w:b/>
      <w:bCs/>
      <w:color w:val="404040" w:themeColor="text1" w:themeTint="BF"/>
      <w:sz w:val="72"/>
      <w:szCs w:val="28"/>
    </w:rPr>
  </w:style>
  <w:style w:type="character" w:customStyle="1" w:styleId="Heading2Char">
    <w:name w:val="Heading 2 Char"/>
    <w:basedOn w:val="DefaultParagraphFont"/>
    <w:link w:val="Heading2"/>
    <w:uiPriority w:val="99"/>
    <w:rsid w:val="00A37207"/>
    <w:rPr>
      <w:rFonts w:ascii="Roboto" w:hAnsi="Roboto" w:cs="Arial"/>
      <w:b/>
      <w:color w:val="2C602F"/>
      <w:kern w:val="28"/>
      <w:sz w:val="40"/>
      <w:szCs w:val="28"/>
    </w:rPr>
  </w:style>
  <w:style w:type="character" w:customStyle="1" w:styleId="Heading3Char">
    <w:name w:val="Heading 3 Char"/>
    <w:basedOn w:val="DefaultParagraphFont"/>
    <w:link w:val="Heading3"/>
    <w:uiPriority w:val="99"/>
    <w:rsid w:val="001136D5"/>
    <w:rPr>
      <w:rFonts w:ascii="Roboto" w:eastAsiaTheme="majorEastAsia" w:hAnsi="Roboto" w:cs="Arial"/>
      <w:b/>
      <w:bCs/>
      <w:color w:val="2C602F" w:themeColor="text2"/>
      <w:sz w:val="36"/>
      <w:szCs w:val="24"/>
      <w:lang w:eastAsia="en-AU"/>
    </w:rPr>
  </w:style>
  <w:style w:type="character" w:customStyle="1" w:styleId="Heading4Char">
    <w:name w:val="Heading 4 Char"/>
    <w:basedOn w:val="DefaultParagraphFont"/>
    <w:link w:val="Heading4"/>
    <w:uiPriority w:val="99"/>
    <w:rsid w:val="001136D5"/>
    <w:rPr>
      <w:rFonts w:ascii="Roboto" w:eastAsiaTheme="majorEastAsia" w:hAnsi="Roboto"/>
      <w:b/>
      <w:bCs/>
      <w:iCs/>
      <w:color w:val="2C602F" w:themeColor="text2"/>
      <w:sz w:val="32"/>
    </w:rPr>
  </w:style>
  <w:style w:type="paragraph" w:styleId="ListParagraph">
    <w:name w:val="List Paragraph"/>
    <w:basedOn w:val="Normal"/>
    <w:uiPriority w:val="34"/>
    <w:rsid w:val="00F167CA"/>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940E5"/>
    <w:pPr>
      <w:numPr>
        <w:numId w:val="4"/>
      </w:numPr>
      <w:spacing w:before="60"/>
      <w:ind w:left="454" w:hanging="454"/>
    </w:pPr>
  </w:style>
  <w:style w:type="paragraph" w:styleId="List2">
    <w:name w:val="List 2"/>
    <w:basedOn w:val="Normal"/>
    <w:uiPriority w:val="99"/>
    <w:rsid w:val="00F940E5"/>
    <w:pPr>
      <w:numPr>
        <w:ilvl w:val="1"/>
        <w:numId w:val="4"/>
      </w:numPr>
      <w:spacing w:before="60"/>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character" w:styleId="SubtleEmphasis">
    <w:name w:val="Subtle Emphasis"/>
    <w:basedOn w:val="DefaultParagraphFont"/>
    <w:uiPriority w:val="99"/>
    <w:rsid w:val="00F940E5"/>
    <w:rPr>
      <w:rFonts w:ascii="Verdana Pro Semibold" w:hAnsi="Verdana Pro Semibold" w:cs="Times New Roman"/>
      <w:b w:val="0"/>
      <w:i w:val="0"/>
      <w:iCs/>
      <w:color w:val="auto"/>
      <w:sz w:val="20"/>
    </w:rPr>
  </w:style>
  <w:style w:type="paragraph" w:customStyle="1" w:styleId="Bullet1">
    <w:name w:val="Bullet1"/>
    <w:basedOn w:val="Normal"/>
    <w:autoRedefine/>
    <w:qFormat/>
    <w:rsid w:val="00820BA6"/>
    <w:pPr>
      <w:numPr>
        <w:numId w:val="9"/>
      </w:numPr>
      <w:tabs>
        <w:tab w:val="clear" w:pos="360"/>
      </w:tabs>
      <w:suppressAutoHyphens/>
      <w:autoSpaceDE w:val="0"/>
      <w:autoSpaceDN w:val="0"/>
      <w:adjustRightInd w:val="0"/>
      <w:spacing w:before="60" w:after="0"/>
      <w:ind w:left="284" w:hanging="284"/>
      <w:jc w:val="both"/>
      <w:textAlignment w:val="center"/>
    </w:pPr>
    <w:rPr>
      <w:rFonts w:eastAsia="Times New Roman"/>
      <w:color w:val="000000" w:themeColor="text1"/>
      <w:lang w:eastAsia="en-AU"/>
    </w:rPr>
  </w:style>
  <w:style w:type="paragraph" w:customStyle="1" w:styleId="Bullet2">
    <w:name w:val="Bullet2"/>
    <w:link w:val="Bullet2Char"/>
    <w:qFormat/>
    <w:rsid w:val="00984549"/>
    <w:pPr>
      <w:numPr>
        <w:numId w:val="12"/>
      </w:numPr>
      <w:spacing w:before="60" w:after="120" w:line="288" w:lineRule="auto"/>
    </w:pPr>
    <w:rPr>
      <w:rFonts w:ascii="Verdana" w:eastAsia="Times New Roman" w:hAnsi="Verdana"/>
      <w:sz w:val="22"/>
      <w:lang w:eastAsia="en-AU"/>
    </w:rPr>
  </w:style>
  <w:style w:type="character" w:customStyle="1" w:styleId="Heading5Char">
    <w:name w:val="Heading 5 Char"/>
    <w:basedOn w:val="DefaultParagraphFont"/>
    <w:link w:val="Heading5"/>
    <w:uiPriority w:val="9"/>
    <w:rsid w:val="001136D5"/>
    <w:rPr>
      <w:rFonts w:ascii="Roboto" w:eastAsiaTheme="majorEastAsia" w:hAnsi="Roboto" w:cstheme="majorBidi"/>
      <w:b/>
      <w:color w:val="2C602F" w:themeColor="text2"/>
      <w:kern w:val="28"/>
      <w:sz w:val="28"/>
    </w:rPr>
  </w:style>
  <w:style w:type="character" w:styleId="Strong">
    <w:name w:val="Strong"/>
    <w:basedOn w:val="DefaultParagraphFont"/>
    <w:uiPriority w:val="22"/>
    <w:qFormat/>
    <w:rsid w:val="00F940E5"/>
    <w:rPr>
      <w:rFonts w:ascii="Verdana" w:hAnsi="Verdana"/>
      <w:b/>
      <w:bCs/>
    </w:rPr>
  </w:style>
  <w:style w:type="paragraph" w:styleId="TOCHeading">
    <w:name w:val="TOC Heading"/>
    <w:basedOn w:val="Heading1"/>
    <w:next w:val="Normal"/>
    <w:uiPriority w:val="39"/>
    <w:unhideWhenUsed/>
    <w:qFormat/>
    <w:rsid w:val="00A017E9"/>
    <w:pPr>
      <w:spacing w:before="480" w:line="276" w:lineRule="auto"/>
      <w:outlineLvl w:val="9"/>
    </w:pPr>
    <w:rPr>
      <w:rFonts w:cstheme="majorBidi"/>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D96746"/>
    <w:pPr>
      <w:tabs>
        <w:tab w:val="right" w:leader="dot" w:pos="9016"/>
      </w:tabs>
      <w:spacing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85194C"/>
    <w:pPr>
      <w:spacing w:after="100"/>
      <w:ind w:left="220"/>
    </w:pPr>
  </w:style>
  <w:style w:type="paragraph" w:styleId="Caption">
    <w:name w:val="caption"/>
    <w:basedOn w:val="Normal"/>
    <w:next w:val="Normal"/>
    <w:uiPriority w:val="35"/>
    <w:unhideWhenUsed/>
    <w:qFormat/>
    <w:locked/>
    <w:rsid w:val="00A37207"/>
    <w:pPr>
      <w:spacing w:after="200" w:line="240" w:lineRule="auto"/>
    </w:pPr>
    <w:rPr>
      <w:b/>
      <w:bCs/>
      <w:color w:val="2C602F"/>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customStyle="1" w:styleId="Report">
    <w:name w:val="Report"/>
    <w:basedOn w:val="Normal"/>
    <w:qFormat/>
    <w:rsid w:val="00A017E9"/>
    <w:pPr>
      <w:spacing w:before="6960" w:after="0" w:line="960" w:lineRule="exact"/>
      <w:ind w:right="-1440"/>
    </w:pPr>
    <w:rPr>
      <w:rFonts w:ascii="Verdana Pro Semibold" w:hAnsi="Verdana Pro Semibold"/>
      <w:noProof/>
      <w:color w:val="FFFFFF" w:themeColor="background1"/>
      <w:sz w:val="96"/>
      <w:lang w:eastAsia="en-NZ"/>
    </w:rPr>
  </w:style>
  <w:style w:type="paragraph" w:customStyle="1" w:styleId="Report2">
    <w:name w:val="Report2"/>
    <w:qFormat/>
    <w:rsid w:val="00A017E9"/>
    <w:pPr>
      <w:spacing w:before="240"/>
    </w:pPr>
    <w:rPr>
      <w:rFonts w:ascii="Verdana Pro Semibold" w:hAnsi="Verdana Pro Semibold" w:cs="Arial"/>
      <w:color w:val="FFFFFF" w:themeColor="background1"/>
      <w:kern w:val="28"/>
      <w:sz w:val="40"/>
      <w:szCs w:val="40"/>
      <w:lang w:val="en-US"/>
    </w:rPr>
  </w:style>
  <w:style w:type="paragraph" w:customStyle="1" w:styleId="Info1">
    <w:name w:val="Info1"/>
    <w:basedOn w:val="Normal"/>
    <w:qFormat/>
    <w:rsid w:val="00F940E5"/>
    <w:pPr>
      <w:spacing w:before="9000"/>
    </w:pPr>
    <w:rPr>
      <w:rFonts w:ascii="Verdana Pro Semibold" w:hAnsi="Verdana Pro Semibold"/>
    </w:rPr>
  </w:style>
  <w:style w:type="paragraph" w:customStyle="1" w:styleId="InfoBody">
    <w:name w:val="Info Body"/>
    <w:basedOn w:val="Normal"/>
    <w:qFormat/>
    <w:rsid w:val="00F940E5"/>
    <w:pPr>
      <w:spacing w:before="60"/>
    </w:pPr>
  </w:style>
  <w:style w:type="paragraph" w:customStyle="1" w:styleId="Info2">
    <w:name w:val="Info2"/>
    <w:basedOn w:val="Normal"/>
    <w:qFormat/>
    <w:rsid w:val="00A017E9"/>
    <w:rPr>
      <w:rFonts w:ascii="Verdana Pro Semibold" w:hAnsi="Verdana Pro Semibold"/>
    </w:rPr>
  </w:style>
  <w:style w:type="numbering" w:customStyle="1" w:styleId="CurrentList1">
    <w:name w:val="Current List1"/>
    <w:uiPriority w:val="99"/>
    <w:rsid w:val="00A017E9"/>
    <w:pPr>
      <w:numPr>
        <w:numId w:val="13"/>
      </w:numPr>
    </w:pPr>
  </w:style>
  <w:style w:type="paragraph" w:styleId="Quote">
    <w:name w:val="Quote"/>
    <w:basedOn w:val="Normal"/>
    <w:next w:val="Normal"/>
    <w:link w:val="QuoteChar"/>
    <w:uiPriority w:val="29"/>
    <w:qFormat/>
    <w:rsid w:val="00D46FB9"/>
    <w:pPr>
      <w:spacing w:before="200" w:after="160"/>
      <w:ind w:left="864" w:right="864"/>
    </w:pPr>
    <w:rPr>
      <w:iCs/>
      <w:color w:val="404040" w:themeColor="text1" w:themeTint="BF"/>
    </w:rPr>
  </w:style>
  <w:style w:type="character" w:customStyle="1" w:styleId="QuoteChar">
    <w:name w:val="Quote Char"/>
    <w:basedOn w:val="DefaultParagraphFont"/>
    <w:link w:val="Quote"/>
    <w:uiPriority w:val="29"/>
    <w:rsid w:val="00D46FB9"/>
    <w:rPr>
      <w:rFonts w:ascii="Verdana" w:hAnsi="Verdana" w:cs="Arial"/>
      <w:iCs/>
      <w:color w:val="404040" w:themeColor="text1" w:themeTint="BF"/>
      <w:kern w:val="28"/>
      <w:sz w:val="22"/>
    </w:rPr>
  </w:style>
  <w:style w:type="character" w:customStyle="1" w:styleId="Heading6Char">
    <w:name w:val="Heading 6 Char"/>
    <w:basedOn w:val="DefaultParagraphFont"/>
    <w:link w:val="Heading6"/>
    <w:uiPriority w:val="9"/>
    <w:rsid w:val="001136D5"/>
    <w:rPr>
      <w:rFonts w:ascii="Roboto" w:eastAsiaTheme="majorEastAsia" w:hAnsi="Roboto" w:cstheme="majorBidi"/>
      <w:b/>
      <w:color w:val="2C602F" w:themeColor="text2"/>
      <w:kern w:val="28"/>
      <w:sz w:val="24"/>
    </w:rPr>
  </w:style>
  <w:style w:type="character" w:styleId="UnresolvedMention">
    <w:name w:val="Unresolved Mention"/>
    <w:basedOn w:val="DefaultParagraphFont"/>
    <w:uiPriority w:val="99"/>
    <w:semiHidden/>
    <w:unhideWhenUsed/>
    <w:rsid w:val="00E86180"/>
    <w:rPr>
      <w:color w:val="605E5C"/>
      <w:shd w:val="clear" w:color="auto" w:fill="E1DFDD"/>
    </w:rPr>
  </w:style>
  <w:style w:type="paragraph" w:customStyle="1" w:styleId="Bullet3">
    <w:name w:val="Bullet 3"/>
    <w:basedOn w:val="Bullet2"/>
    <w:link w:val="Bullet3Char"/>
    <w:qFormat/>
    <w:rsid w:val="00A339FA"/>
    <w:pPr>
      <w:numPr>
        <w:ilvl w:val="1"/>
      </w:numPr>
    </w:pPr>
    <w:rPr>
      <w:szCs w:val="22"/>
    </w:rPr>
  </w:style>
  <w:style w:type="character" w:customStyle="1" w:styleId="Bullet2Char">
    <w:name w:val="Bullet2 Char"/>
    <w:basedOn w:val="DefaultParagraphFont"/>
    <w:link w:val="Bullet2"/>
    <w:rsid w:val="00A339FA"/>
    <w:rPr>
      <w:rFonts w:ascii="Verdana" w:eastAsia="Times New Roman" w:hAnsi="Verdana"/>
      <w:sz w:val="22"/>
      <w:lang w:eastAsia="en-AU"/>
    </w:rPr>
  </w:style>
  <w:style w:type="character" w:customStyle="1" w:styleId="Bullet3Char">
    <w:name w:val="Bullet 3 Char"/>
    <w:basedOn w:val="Bullet2Char"/>
    <w:link w:val="Bullet3"/>
    <w:rsid w:val="00A339FA"/>
    <w:rPr>
      <w:rFonts w:ascii="Verdana" w:eastAsia="Times New Roman" w:hAnsi="Verdana"/>
      <w:sz w:val="22"/>
      <w:szCs w:val="22"/>
      <w:lang w:eastAsia="en-AU"/>
    </w:rPr>
  </w:style>
  <w:style w:type="paragraph" w:styleId="Revision">
    <w:name w:val="Revision"/>
    <w:hidden/>
    <w:uiPriority w:val="99"/>
    <w:semiHidden/>
    <w:rsid w:val="009F58BC"/>
    <w:rPr>
      <w:rFonts w:ascii="Verdana" w:hAnsi="Verdana" w:cs="Arial"/>
      <w:kern w:val="28"/>
      <w:sz w:val="22"/>
    </w:rPr>
  </w:style>
  <w:style w:type="character" w:styleId="CommentReference">
    <w:name w:val="annotation reference"/>
    <w:basedOn w:val="DefaultParagraphFont"/>
    <w:uiPriority w:val="99"/>
    <w:semiHidden/>
    <w:unhideWhenUsed/>
    <w:rsid w:val="0063448D"/>
    <w:rPr>
      <w:sz w:val="16"/>
      <w:szCs w:val="16"/>
    </w:rPr>
  </w:style>
  <w:style w:type="paragraph" w:styleId="CommentText">
    <w:name w:val="annotation text"/>
    <w:basedOn w:val="Normal"/>
    <w:link w:val="CommentTextChar"/>
    <w:uiPriority w:val="99"/>
    <w:unhideWhenUsed/>
    <w:rsid w:val="0063448D"/>
    <w:pPr>
      <w:spacing w:line="240" w:lineRule="auto"/>
    </w:pPr>
    <w:rPr>
      <w:sz w:val="20"/>
    </w:rPr>
  </w:style>
  <w:style w:type="character" w:customStyle="1" w:styleId="CommentTextChar">
    <w:name w:val="Comment Text Char"/>
    <w:basedOn w:val="DefaultParagraphFont"/>
    <w:link w:val="CommentText"/>
    <w:uiPriority w:val="99"/>
    <w:rsid w:val="0063448D"/>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63448D"/>
    <w:rPr>
      <w:b/>
      <w:bCs/>
    </w:rPr>
  </w:style>
  <w:style w:type="character" w:customStyle="1" w:styleId="CommentSubjectChar">
    <w:name w:val="Comment Subject Char"/>
    <w:basedOn w:val="CommentTextChar"/>
    <w:link w:val="CommentSubject"/>
    <w:uiPriority w:val="99"/>
    <w:semiHidden/>
    <w:rsid w:val="0063448D"/>
    <w:rPr>
      <w:rFonts w:ascii="Verdana" w:hAnsi="Verdana" w:cs="Arial"/>
      <w:b/>
      <w:bCs/>
      <w:kern w:val="28"/>
    </w:rPr>
  </w:style>
  <w:style w:type="paragraph" w:styleId="NormalWeb">
    <w:name w:val="Normal (Web)"/>
    <w:basedOn w:val="Normal"/>
    <w:uiPriority w:val="99"/>
    <w:unhideWhenUsed/>
    <w:rsid w:val="00420EEE"/>
    <w:pPr>
      <w:spacing w:before="100" w:beforeAutospacing="1" w:after="100" w:afterAutospacing="1" w:line="240" w:lineRule="auto"/>
    </w:pPr>
    <w:rPr>
      <w:rFonts w:ascii="Times New Roman" w:eastAsia="Times New Roman" w:hAnsi="Times New Roman" w:cs="Times New Roman"/>
      <w:kern w:val="0"/>
      <w:szCs w:val="24"/>
      <w:lang w:eastAsia="en-NZ"/>
    </w:rPr>
  </w:style>
  <w:style w:type="character" w:customStyle="1" w:styleId="sr-only">
    <w:name w:val="sr-only"/>
    <w:basedOn w:val="DefaultParagraphFont"/>
    <w:rsid w:val="00420EEE"/>
  </w:style>
  <w:style w:type="character" w:styleId="Emphasis">
    <w:name w:val="Emphasis"/>
    <w:basedOn w:val="DefaultParagraphFont"/>
    <w:uiPriority w:val="20"/>
    <w:qFormat/>
    <w:locked/>
    <w:rsid w:val="002E74CD"/>
    <w:rPr>
      <w:i/>
      <w:iCs/>
    </w:rPr>
  </w:style>
  <w:style w:type="paragraph" w:customStyle="1" w:styleId="lead">
    <w:name w:val="lead"/>
    <w:basedOn w:val="Normal"/>
    <w:rsid w:val="002E74CD"/>
    <w:pPr>
      <w:spacing w:before="100" w:beforeAutospacing="1" w:after="100" w:afterAutospacing="1" w:line="240" w:lineRule="auto"/>
    </w:pPr>
    <w:rPr>
      <w:rFonts w:ascii="Times New Roman" w:eastAsia="Times New Roman" w:hAnsi="Times New Roman" w:cs="Times New Roman"/>
      <w:kern w:val="0"/>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3494">
      <w:bodyDiv w:val="1"/>
      <w:marLeft w:val="0"/>
      <w:marRight w:val="0"/>
      <w:marTop w:val="0"/>
      <w:marBottom w:val="0"/>
      <w:divBdr>
        <w:top w:val="none" w:sz="0" w:space="0" w:color="auto"/>
        <w:left w:val="none" w:sz="0" w:space="0" w:color="auto"/>
        <w:bottom w:val="none" w:sz="0" w:space="0" w:color="auto"/>
        <w:right w:val="none" w:sz="0" w:space="0" w:color="auto"/>
      </w:divBdr>
    </w:div>
    <w:div w:id="161967361">
      <w:bodyDiv w:val="1"/>
      <w:marLeft w:val="0"/>
      <w:marRight w:val="0"/>
      <w:marTop w:val="0"/>
      <w:marBottom w:val="0"/>
      <w:divBdr>
        <w:top w:val="none" w:sz="0" w:space="0" w:color="auto"/>
        <w:left w:val="none" w:sz="0" w:space="0" w:color="auto"/>
        <w:bottom w:val="none" w:sz="0" w:space="0" w:color="auto"/>
        <w:right w:val="none" w:sz="0" w:space="0" w:color="auto"/>
      </w:divBdr>
    </w:div>
    <w:div w:id="174653893">
      <w:bodyDiv w:val="1"/>
      <w:marLeft w:val="0"/>
      <w:marRight w:val="0"/>
      <w:marTop w:val="0"/>
      <w:marBottom w:val="0"/>
      <w:divBdr>
        <w:top w:val="none" w:sz="0" w:space="0" w:color="auto"/>
        <w:left w:val="none" w:sz="0" w:space="0" w:color="auto"/>
        <w:bottom w:val="none" w:sz="0" w:space="0" w:color="auto"/>
        <w:right w:val="none" w:sz="0" w:space="0" w:color="auto"/>
      </w:divBdr>
    </w:div>
    <w:div w:id="440302710">
      <w:bodyDiv w:val="1"/>
      <w:marLeft w:val="0"/>
      <w:marRight w:val="0"/>
      <w:marTop w:val="0"/>
      <w:marBottom w:val="0"/>
      <w:divBdr>
        <w:top w:val="none" w:sz="0" w:space="0" w:color="auto"/>
        <w:left w:val="none" w:sz="0" w:space="0" w:color="auto"/>
        <w:bottom w:val="none" w:sz="0" w:space="0" w:color="auto"/>
        <w:right w:val="none" w:sz="0" w:space="0" w:color="auto"/>
      </w:divBdr>
    </w:div>
    <w:div w:id="762073913">
      <w:bodyDiv w:val="1"/>
      <w:marLeft w:val="0"/>
      <w:marRight w:val="0"/>
      <w:marTop w:val="0"/>
      <w:marBottom w:val="0"/>
      <w:divBdr>
        <w:top w:val="none" w:sz="0" w:space="0" w:color="auto"/>
        <w:left w:val="none" w:sz="0" w:space="0" w:color="auto"/>
        <w:bottom w:val="none" w:sz="0" w:space="0" w:color="auto"/>
        <w:right w:val="none" w:sz="0" w:space="0" w:color="auto"/>
      </w:divBdr>
    </w:div>
    <w:div w:id="914899169">
      <w:bodyDiv w:val="1"/>
      <w:marLeft w:val="0"/>
      <w:marRight w:val="0"/>
      <w:marTop w:val="0"/>
      <w:marBottom w:val="0"/>
      <w:divBdr>
        <w:top w:val="none" w:sz="0" w:space="0" w:color="auto"/>
        <w:left w:val="none" w:sz="0" w:space="0" w:color="auto"/>
        <w:bottom w:val="none" w:sz="0" w:space="0" w:color="auto"/>
        <w:right w:val="none" w:sz="0" w:space="0" w:color="auto"/>
      </w:divBdr>
    </w:div>
    <w:div w:id="940337301">
      <w:bodyDiv w:val="1"/>
      <w:marLeft w:val="0"/>
      <w:marRight w:val="0"/>
      <w:marTop w:val="0"/>
      <w:marBottom w:val="0"/>
      <w:divBdr>
        <w:top w:val="none" w:sz="0" w:space="0" w:color="auto"/>
        <w:left w:val="none" w:sz="0" w:space="0" w:color="auto"/>
        <w:bottom w:val="none" w:sz="0" w:space="0" w:color="auto"/>
        <w:right w:val="none" w:sz="0" w:space="0" w:color="auto"/>
      </w:divBdr>
    </w:div>
    <w:div w:id="969673791">
      <w:bodyDiv w:val="1"/>
      <w:marLeft w:val="0"/>
      <w:marRight w:val="0"/>
      <w:marTop w:val="0"/>
      <w:marBottom w:val="0"/>
      <w:divBdr>
        <w:top w:val="none" w:sz="0" w:space="0" w:color="auto"/>
        <w:left w:val="none" w:sz="0" w:space="0" w:color="auto"/>
        <w:bottom w:val="none" w:sz="0" w:space="0" w:color="auto"/>
        <w:right w:val="none" w:sz="0" w:space="0" w:color="auto"/>
      </w:divBdr>
    </w:div>
    <w:div w:id="977882448">
      <w:bodyDiv w:val="1"/>
      <w:marLeft w:val="0"/>
      <w:marRight w:val="0"/>
      <w:marTop w:val="0"/>
      <w:marBottom w:val="0"/>
      <w:divBdr>
        <w:top w:val="none" w:sz="0" w:space="0" w:color="auto"/>
        <w:left w:val="none" w:sz="0" w:space="0" w:color="auto"/>
        <w:bottom w:val="none" w:sz="0" w:space="0" w:color="auto"/>
        <w:right w:val="none" w:sz="0" w:space="0" w:color="auto"/>
      </w:divBdr>
    </w:div>
    <w:div w:id="1035733499">
      <w:bodyDiv w:val="1"/>
      <w:marLeft w:val="0"/>
      <w:marRight w:val="0"/>
      <w:marTop w:val="0"/>
      <w:marBottom w:val="0"/>
      <w:divBdr>
        <w:top w:val="none" w:sz="0" w:space="0" w:color="auto"/>
        <w:left w:val="none" w:sz="0" w:space="0" w:color="auto"/>
        <w:bottom w:val="none" w:sz="0" w:space="0" w:color="auto"/>
        <w:right w:val="none" w:sz="0" w:space="0" w:color="auto"/>
      </w:divBdr>
    </w:div>
    <w:div w:id="1177386056">
      <w:bodyDiv w:val="1"/>
      <w:marLeft w:val="0"/>
      <w:marRight w:val="0"/>
      <w:marTop w:val="0"/>
      <w:marBottom w:val="0"/>
      <w:divBdr>
        <w:top w:val="none" w:sz="0" w:space="0" w:color="auto"/>
        <w:left w:val="none" w:sz="0" w:space="0" w:color="auto"/>
        <w:bottom w:val="none" w:sz="0" w:space="0" w:color="auto"/>
        <w:right w:val="none" w:sz="0" w:space="0" w:color="auto"/>
      </w:divBdr>
    </w:div>
    <w:div w:id="1279987141">
      <w:bodyDiv w:val="1"/>
      <w:marLeft w:val="0"/>
      <w:marRight w:val="0"/>
      <w:marTop w:val="0"/>
      <w:marBottom w:val="0"/>
      <w:divBdr>
        <w:top w:val="none" w:sz="0" w:space="0" w:color="auto"/>
        <w:left w:val="none" w:sz="0" w:space="0" w:color="auto"/>
        <w:bottom w:val="none" w:sz="0" w:space="0" w:color="auto"/>
        <w:right w:val="none" w:sz="0" w:space="0" w:color="auto"/>
      </w:divBdr>
    </w:div>
    <w:div w:id="1296792457">
      <w:bodyDiv w:val="1"/>
      <w:marLeft w:val="0"/>
      <w:marRight w:val="0"/>
      <w:marTop w:val="0"/>
      <w:marBottom w:val="0"/>
      <w:divBdr>
        <w:top w:val="none" w:sz="0" w:space="0" w:color="auto"/>
        <w:left w:val="none" w:sz="0" w:space="0" w:color="auto"/>
        <w:bottom w:val="none" w:sz="0" w:space="0" w:color="auto"/>
        <w:right w:val="none" w:sz="0" w:space="0" w:color="auto"/>
      </w:divBdr>
    </w:div>
    <w:div w:id="1358047693">
      <w:bodyDiv w:val="1"/>
      <w:marLeft w:val="0"/>
      <w:marRight w:val="0"/>
      <w:marTop w:val="0"/>
      <w:marBottom w:val="0"/>
      <w:divBdr>
        <w:top w:val="none" w:sz="0" w:space="0" w:color="auto"/>
        <w:left w:val="none" w:sz="0" w:space="0" w:color="auto"/>
        <w:bottom w:val="none" w:sz="0" w:space="0" w:color="auto"/>
        <w:right w:val="none" w:sz="0" w:space="0" w:color="auto"/>
      </w:divBdr>
      <w:divsChild>
        <w:div w:id="53817382">
          <w:marLeft w:val="0"/>
          <w:marRight w:val="0"/>
          <w:marTop w:val="0"/>
          <w:marBottom w:val="0"/>
          <w:divBdr>
            <w:top w:val="none" w:sz="0" w:space="0" w:color="auto"/>
            <w:left w:val="none" w:sz="0" w:space="0" w:color="auto"/>
            <w:bottom w:val="none" w:sz="0" w:space="0" w:color="auto"/>
            <w:right w:val="none" w:sz="0" w:space="0" w:color="auto"/>
          </w:divBdr>
          <w:divsChild>
            <w:div w:id="1826899799">
              <w:marLeft w:val="0"/>
              <w:marRight w:val="0"/>
              <w:marTop w:val="0"/>
              <w:marBottom w:val="0"/>
              <w:divBdr>
                <w:top w:val="none" w:sz="0" w:space="0" w:color="auto"/>
                <w:left w:val="none" w:sz="0" w:space="0" w:color="auto"/>
                <w:bottom w:val="none" w:sz="0" w:space="0" w:color="auto"/>
                <w:right w:val="none" w:sz="0" w:space="0" w:color="auto"/>
              </w:divBdr>
            </w:div>
          </w:divsChild>
        </w:div>
        <w:div w:id="1912766052">
          <w:marLeft w:val="0"/>
          <w:marRight w:val="0"/>
          <w:marTop w:val="0"/>
          <w:marBottom w:val="0"/>
          <w:divBdr>
            <w:top w:val="none" w:sz="0" w:space="0" w:color="auto"/>
            <w:left w:val="none" w:sz="0" w:space="0" w:color="auto"/>
            <w:bottom w:val="none" w:sz="0" w:space="0" w:color="auto"/>
            <w:right w:val="none" w:sz="0" w:space="0" w:color="auto"/>
          </w:divBdr>
          <w:divsChild>
            <w:div w:id="1135828064">
              <w:marLeft w:val="0"/>
              <w:marRight w:val="0"/>
              <w:marTop w:val="0"/>
              <w:marBottom w:val="0"/>
              <w:divBdr>
                <w:top w:val="none" w:sz="0" w:space="0" w:color="auto"/>
                <w:left w:val="none" w:sz="0" w:space="0" w:color="auto"/>
                <w:bottom w:val="none" w:sz="0" w:space="0" w:color="auto"/>
                <w:right w:val="none" w:sz="0" w:space="0" w:color="auto"/>
              </w:divBdr>
            </w:div>
          </w:divsChild>
        </w:div>
        <w:div w:id="189997833">
          <w:marLeft w:val="0"/>
          <w:marRight w:val="0"/>
          <w:marTop w:val="0"/>
          <w:marBottom w:val="0"/>
          <w:divBdr>
            <w:top w:val="none" w:sz="0" w:space="0" w:color="auto"/>
            <w:left w:val="none" w:sz="0" w:space="0" w:color="auto"/>
            <w:bottom w:val="none" w:sz="0" w:space="0" w:color="auto"/>
            <w:right w:val="none" w:sz="0" w:space="0" w:color="auto"/>
          </w:divBdr>
          <w:divsChild>
            <w:div w:id="2143385058">
              <w:marLeft w:val="0"/>
              <w:marRight w:val="0"/>
              <w:marTop w:val="0"/>
              <w:marBottom w:val="0"/>
              <w:divBdr>
                <w:top w:val="none" w:sz="0" w:space="0" w:color="auto"/>
                <w:left w:val="none" w:sz="0" w:space="0" w:color="auto"/>
                <w:bottom w:val="none" w:sz="0" w:space="0" w:color="auto"/>
                <w:right w:val="none" w:sz="0" w:space="0" w:color="auto"/>
              </w:divBdr>
            </w:div>
          </w:divsChild>
        </w:div>
        <w:div w:id="235366314">
          <w:marLeft w:val="0"/>
          <w:marRight w:val="0"/>
          <w:marTop w:val="0"/>
          <w:marBottom w:val="0"/>
          <w:divBdr>
            <w:top w:val="none" w:sz="0" w:space="0" w:color="auto"/>
            <w:left w:val="none" w:sz="0" w:space="0" w:color="auto"/>
            <w:bottom w:val="none" w:sz="0" w:space="0" w:color="auto"/>
            <w:right w:val="none" w:sz="0" w:space="0" w:color="auto"/>
          </w:divBdr>
          <w:divsChild>
            <w:div w:id="739984986">
              <w:marLeft w:val="0"/>
              <w:marRight w:val="0"/>
              <w:marTop w:val="0"/>
              <w:marBottom w:val="0"/>
              <w:divBdr>
                <w:top w:val="none" w:sz="0" w:space="0" w:color="auto"/>
                <w:left w:val="none" w:sz="0" w:space="0" w:color="auto"/>
                <w:bottom w:val="none" w:sz="0" w:space="0" w:color="auto"/>
                <w:right w:val="none" w:sz="0" w:space="0" w:color="auto"/>
              </w:divBdr>
            </w:div>
          </w:divsChild>
        </w:div>
        <w:div w:id="2145080478">
          <w:marLeft w:val="0"/>
          <w:marRight w:val="0"/>
          <w:marTop w:val="0"/>
          <w:marBottom w:val="0"/>
          <w:divBdr>
            <w:top w:val="none" w:sz="0" w:space="0" w:color="auto"/>
            <w:left w:val="none" w:sz="0" w:space="0" w:color="auto"/>
            <w:bottom w:val="none" w:sz="0" w:space="0" w:color="auto"/>
            <w:right w:val="none" w:sz="0" w:space="0" w:color="auto"/>
          </w:divBdr>
          <w:divsChild>
            <w:div w:id="3088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4283">
      <w:bodyDiv w:val="1"/>
      <w:marLeft w:val="0"/>
      <w:marRight w:val="0"/>
      <w:marTop w:val="0"/>
      <w:marBottom w:val="0"/>
      <w:divBdr>
        <w:top w:val="none" w:sz="0" w:space="0" w:color="auto"/>
        <w:left w:val="none" w:sz="0" w:space="0" w:color="auto"/>
        <w:bottom w:val="none" w:sz="0" w:space="0" w:color="auto"/>
        <w:right w:val="none" w:sz="0" w:space="0" w:color="auto"/>
      </w:divBdr>
    </w:div>
    <w:div w:id="1408651602">
      <w:bodyDiv w:val="1"/>
      <w:marLeft w:val="0"/>
      <w:marRight w:val="0"/>
      <w:marTop w:val="0"/>
      <w:marBottom w:val="0"/>
      <w:divBdr>
        <w:top w:val="none" w:sz="0" w:space="0" w:color="auto"/>
        <w:left w:val="none" w:sz="0" w:space="0" w:color="auto"/>
        <w:bottom w:val="none" w:sz="0" w:space="0" w:color="auto"/>
        <w:right w:val="none" w:sz="0" w:space="0" w:color="auto"/>
      </w:divBdr>
      <w:divsChild>
        <w:div w:id="871499698">
          <w:marLeft w:val="0"/>
          <w:marRight w:val="0"/>
          <w:marTop w:val="0"/>
          <w:marBottom w:val="0"/>
          <w:divBdr>
            <w:top w:val="none" w:sz="0" w:space="0" w:color="auto"/>
            <w:left w:val="none" w:sz="0" w:space="0" w:color="auto"/>
            <w:bottom w:val="none" w:sz="0" w:space="0" w:color="auto"/>
            <w:right w:val="none" w:sz="0" w:space="0" w:color="auto"/>
          </w:divBdr>
          <w:divsChild>
            <w:div w:id="1568031156">
              <w:marLeft w:val="0"/>
              <w:marRight w:val="0"/>
              <w:marTop w:val="0"/>
              <w:marBottom w:val="0"/>
              <w:divBdr>
                <w:top w:val="none" w:sz="0" w:space="0" w:color="auto"/>
                <w:left w:val="none" w:sz="0" w:space="0" w:color="auto"/>
                <w:bottom w:val="none" w:sz="0" w:space="0" w:color="auto"/>
                <w:right w:val="none" w:sz="0" w:space="0" w:color="auto"/>
              </w:divBdr>
            </w:div>
          </w:divsChild>
        </w:div>
        <w:div w:id="831530697">
          <w:marLeft w:val="0"/>
          <w:marRight w:val="0"/>
          <w:marTop w:val="0"/>
          <w:marBottom w:val="0"/>
          <w:divBdr>
            <w:top w:val="none" w:sz="0" w:space="0" w:color="auto"/>
            <w:left w:val="none" w:sz="0" w:space="0" w:color="auto"/>
            <w:bottom w:val="none" w:sz="0" w:space="0" w:color="auto"/>
            <w:right w:val="none" w:sz="0" w:space="0" w:color="auto"/>
          </w:divBdr>
          <w:divsChild>
            <w:div w:id="311838449">
              <w:marLeft w:val="0"/>
              <w:marRight w:val="0"/>
              <w:marTop w:val="0"/>
              <w:marBottom w:val="0"/>
              <w:divBdr>
                <w:top w:val="none" w:sz="0" w:space="0" w:color="auto"/>
                <w:left w:val="none" w:sz="0" w:space="0" w:color="auto"/>
                <w:bottom w:val="none" w:sz="0" w:space="0" w:color="auto"/>
                <w:right w:val="none" w:sz="0" w:space="0" w:color="auto"/>
              </w:divBdr>
            </w:div>
          </w:divsChild>
        </w:div>
        <w:div w:id="2129816980">
          <w:marLeft w:val="0"/>
          <w:marRight w:val="0"/>
          <w:marTop w:val="0"/>
          <w:marBottom w:val="0"/>
          <w:divBdr>
            <w:top w:val="none" w:sz="0" w:space="0" w:color="auto"/>
            <w:left w:val="none" w:sz="0" w:space="0" w:color="auto"/>
            <w:bottom w:val="none" w:sz="0" w:space="0" w:color="auto"/>
            <w:right w:val="none" w:sz="0" w:space="0" w:color="auto"/>
          </w:divBdr>
          <w:divsChild>
            <w:div w:id="174923528">
              <w:marLeft w:val="0"/>
              <w:marRight w:val="0"/>
              <w:marTop w:val="0"/>
              <w:marBottom w:val="0"/>
              <w:divBdr>
                <w:top w:val="none" w:sz="0" w:space="0" w:color="auto"/>
                <w:left w:val="none" w:sz="0" w:space="0" w:color="auto"/>
                <w:bottom w:val="none" w:sz="0" w:space="0" w:color="auto"/>
                <w:right w:val="none" w:sz="0" w:space="0" w:color="auto"/>
              </w:divBdr>
            </w:div>
          </w:divsChild>
        </w:div>
        <w:div w:id="855927090">
          <w:marLeft w:val="0"/>
          <w:marRight w:val="0"/>
          <w:marTop w:val="0"/>
          <w:marBottom w:val="0"/>
          <w:divBdr>
            <w:top w:val="none" w:sz="0" w:space="0" w:color="auto"/>
            <w:left w:val="none" w:sz="0" w:space="0" w:color="auto"/>
            <w:bottom w:val="none" w:sz="0" w:space="0" w:color="auto"/>
            <w:right w:val="none" w:sz="0" w:space="0" w:color="auto"/>
          </w:divBdr>
          <w:divsChild>
            <w:div w:id="1583367464">
              <w:marLeft w:val="0"/>
              <w:marRight w:val="0"/>
              <w:marTop w:val="0"/>
              <w:marBottom w:val="0"/>
              <w:divBdr>
                <w:top w:val="none" w:sz="0" w:space="0" w:color="auto"/>
                <w:left w:val="none" w:sz="0" w:space="0" w:color="auto"/>
                <w:bottom w:val="none" w:sz="0" w:space="0" w:color="auto"/>
                <w:right w:val="none" w:sz="0" w:space="0" w:color="auto"/>
              </w:divBdr>
            </w:div>
          </w:divsChild>
        </w:div>
        <w:div w:id="147133029">
          <w:marLeft w:val="0"/>
          <w:marRight w:val="0"/>
          <w:marTop w:val="0"/>
          <w:marBottom w:val="0"/>
          <w:divBdr>
            <w:top w:val="none" w:sz="0" w:space="0" w:color="auto"/>
            <w:left w:val="none" w:sz="0" w:space="0" w:color="auto"/>
            <w:bottom w:val="none" w:sz="0" w:space="0" w:color="auto"/>
            <w:right w:val="none" w:sz="0" w:space="0" w:color="auto"/>
          </w:divBdr>
          <w:divsChild>
            <w:div w:id="1531721565">
              <w:marLeft w:val="0"/>
              <w:marRight w:val="0"/>
              <w:marTop w:val="0"/>
              <w:marBottom w:val="0"/>
              <w:divBdr>
                <w:top w:val="none" w:sz="0" w:space="0" w:color="auto"/>
                <w:left w:val="none" w:sz="0" w:space="0" w:color="auto"/>
                <w:bottom w:val="none" w:sz="0" w:space="0" w:color="auto"/>
                <w:right w:val="none" w:sz="0" w:space="0" w:color="auto"/>
              </w:divBdr>
            </w:div>
          </w:divsChild>
        </w:div>
        <w:div w:id="1023022043">
          <w:marLeft w:val="0"/>
          <w:marRight w:val="0"/>
          <w:marTop w:val="0"/>
          <w:marBottom w:val="0"/>
          <w:divBdr>
            <w:top w:val="none" w:sz="0" w:space="0" w:color="auto"/>
            <w:left w:val="none" w:sz="0" w:space="0" w:color="auto"/>
            <w:bottom w:val="none" w:sz="0" w:space="0" w:color="auto"/>
            <w:right w:val="none" w:sz="0" w:space="0" w:color="auto"/>
          </w:divBdr>
          <w:divsChild>
            <w:div w:id="1252163581">
              <w:marLeft w:val="0"/>
              <w:marRight w:val="0"/>
              <w:marTop w:val="0"/>
              <w:marBottom w:val="0"/>
              <w:divBdr>
                <w:top w:val="none" w:sz="0" w:space="0" w:color="auto"/>
                <w:left w:val="none" w:sz="0" w:space="0" w:color="auto"/>
                <w:bottom w:val="none" w:sz="0" w:space="0" w:color="auto"/>
                <w:right w:val="none" w:sz="0" w:space="0" w:color="auto"/>
              </w:divBdr>
            </w:div>
          </w:divsChild>
        </w:div>
        <w:div w:id="1391733028">
          <w:marLeft w:val="0"/>
          <w:marRight w:val="0"/>
          <w:marTop w:val="0"/>
          <w:marBottom w:val="0"/>
          <w:divBdr>
            <w:top w:val="none" w:sz="0" w:space="0" w:color="auto"/>
            <w:left w:val="none" w:sz="0" w:space="0" w:color="auto"/>
            <w:bottom w:val="none" w:sz="0" w:space="0" w:color="auto"/>
            <w:right w:val="none" w:sz="0" w:space="0" w:color="auto"/>
          </w:divBdr>
          <w:divsChild>
            <w:div w:id="13736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6486">
      <w:bodyDiv w:val="1"/>
      <w:marLeft w:val="0"/>
      <w:marRight w:val="0"/>
      <w:marTop w:val="0"/>
      <w:marBottom w:val="0"/>
      <w:divBdr>
        <w:top w:val="none" w:sz="0" w:space="0" w:color="auto"/>
        <w:left w:val="none" w:sz="0" w:space="0" w:color="auto"/>
        <w:bottom w:val="none" w:sz="0" w:space="0" w:color="auto"/>
        <w:right w:val="none" w:sz="0" w:space="0" w:color="auto"/>
      </w:divBdr>
    </w:div>
    <w:div w:id="1636911101">
      <w:bodyDiv w:val="1"/>
      <w:marLeft w:val="0"/>
      <w:marRight w:val="0"/>
      <w:marTop w:val="0"/>
      <w:marBottom w:val="0"/>
      <w:divBdr>
        <w:top w:val="none" w:sz="0" w:space="0" w:color="auto"/>
        <w:left w:val="none" w:sz="0" w:space="0" w:color="auto"/>
        <w:bottom w:val="none" w:sz="0" w:space="0" w:color="auto"/>
        <w:right w:val="none" w:sz="0" w:space="0" w:color="auto"/>
      </w:divBdr>
    </w:div>
    <w:div w:id="1749690488">
      <w:bodyDiv w:val="1"/>
      <w:marLeft w:val="0"/>
      <w:marRight w:val="0"/>
      <w:marTop w:val="0"/>
      <w:marBottom w:val="0"/>
      <w:divBdr>
        <w:top w:val="none" w:sz="0" w:space="0" w:color="auto"/>
        <w:left w:val="none" w:sz="0" w:space="0" w:color="auto"/>
        <w:bottom w:val="none" w:sz="0" w:space="0" w:color="auto"/>
        <w:right w:val="none" w:sz="0" w:space="0" w:color="auto"/>
      </w:divBdr>
    </w:div>
    <w:div w:id="1764647516">
      <w:bodyDiv w:val="1"/>
      <w:marLeft w:val="0"/>
      <w:marRight w:val="0"/>
      <w:marTop w:val="0"/>
      <w:marBottom w:val="0"/>
      <w:divBdr>
        <w:top w:val="none" w:sz="0" w:space="0" w:color="auto"/>
        <w:left w:val="none" w:sz="0" w:space="0" w:color="auto"/>
        <w:bottom w:val="none" w:sz="0" w:space="0" w:color="auto"/>
        <w:right w:val="none" w:sz="0" w:space="0" w:color="auto"/>
      </w:divBdr>
    </w:div>
    <w:div w:id="1785608675">
      <w:bodyDiv w:val="1"/>
      <w:marLeft w:val="0"/>
      <w:marRight w:val="0"/>
      <w:marTop w:val="0"/>
      <w:marBottom w:val="0"/>
      <w:divBdr>
        <w:top w:val="none" w:sz="0" w:space="0" w:color="auto"/>
        <w:left w:val="none" w:sz="0" w:space="0" w:color="auto"/>
        <w:bottom w:val="none" w:sz="0" w:space="0" w:color="auto"/>
        <w:right w:val="none" w:sz="0" w:space="0" w:color="auto"/>
      </w:divBdr>
    </w:div>
    <w:div w:id="2073573137">
      <w:bodyDiv w:val="1"/>
      <w:marLeft w:val="0"/>
      <w:marRight w:val="0"/>
      <w:marTop w:val="0"/>
      <w:marBottom w:val="0"/>
      <w:divBdr>
        <w:top w:val="none" w:sz="0" w:space="0" w:color="auto"/>
        <w:left w:val="none" w:sz="0" w:space="0" w:color="auto"/>
        <w:bottom w:val="none" w:sz="0" w:space="0" w:color="auto"/>
        <w:right w:val="none" w:sz="0" w:space="0" w:color="auto"/>
      </w:divBdr>
      <w:divsChild>
        <w:div w:id="202594725">
          <w:marLeft w:val="547"/>
          <w:marRight w:val="0"/>
          <w:marTop w:val="82"/>
          <w:marBottom w:val="0"/>
          <w:divBdr>
            <w:top w:val="none" w:sz="0" w:space="0" w:color="auto"/>
            <w:left w:val="none" w:sz="0" w:space="0" w:color="auto"/>
            <w:bottom w:val="none" w:sz="0" w:space="0" w:color="auto"/>
            <w:right w:val="none" w:sz="0" w:space="0" w:color="auto"/>
          </w:divBdr>
        </w:div>
        <w:div w:id="2006008374">
          <w:marLeft w:val="547"/>
          <w:marRight w:val="0"/>
          <w:marTop w:val="82"/>
          <w:marBottom w:val="0"/>
          <w:divBdr>
            <w:top w:val="none" w:sz="0" w:space="0" w:color="auto"/>
            <w:left w:val="none" w:sz="0" w:space="0" w:color="auto"/>
            <w:bottom w:val="none" w:sz="0" w:space="0" w:color="auto"/>
            <w:right w:val="none" w:sz="0" w:space="0" w:color="auto"/>
          </w:divBdr>
        </w:div>
        <w:div w:id="416831450">
          <w:marLeft w:val="547"/>
          <w:marRight w:val="0"/>
          <w:marTop w:val="82"/>
          <w:marBottom w:val="0"/>
          <w:divBdr>
            <w:top w:val="none" w:sz="0" w:space="0" w:color="auto"/>
            <w:left w:val="none" w:sz="0" w:space="0" w:color="auto"/>
            <w:bottom w:val="none" w:sz="0" w:space="0" w:color="auto"/>
            <w:right w:val="none" w:sz="0" w:space="0" w:color="auto"/>
          </w:divBdr>
        </w:div>
        <w:div w:id="1016882350">
          <w:marLeft w:val="547"/>
          <w:marRight w:val="0"/>
          <w:marTop w:val="82"/>
          <w:marBottom w:val="0"/>
          <w:divBdr>
            <w:top w:val="none" w:sz="0" w:space="0" w:color="auto"/>
            <w:left w:val="none" w:sz="0" w:space="0" w:color="auto"/>
            <w:bottom w:val="none" w:sz="0" w:space="0" w:color="auto"/>
            <w:right w:val="none" w:sz="0" w:space="0" w:color="auto"/>
          </w:divBdr>
        </w:div>
        <w:div w:id="491720717">
          <w:marLeft w:val="1166"/>
          <w:marRight w:val="0"/>
          <w:marTop w:val="82"/>
          <w:marBottom w:val="0"/>
          <w:divBdr>
            <w:top w:val="none" w:sz="0" w:space="0" w:color="auto"/>
            <w:left w:val="none" w:sz="0" w:space="0" w:color="auto"/>
            <w:bottom w:val="none" w:sz="0" w:space="0" w:color="auto"/>
            <w:right w:val="none" w:sz="0" w:space="0" w:color="auto"/>
          </w:divBdr>
        </w:div>
        <w:div w:id="1974167421">
          <w:marLeft w:val="1166"/>
          <w:marRight w:val="0"/>
          <w:marTop w:val="82"/>
          <w:marBottom w:val="0"/>
          <w:divBdr>
            <w:top w:val="none" w:sz="0" w:space="0" w:color="auto"/>
            <w:left w:val="none" w:sz="0" w:space="0" w:color="auto"/>
            <w:bottom w:val="none" w:sz="0" w:space="0" w:color="auto"/>
            <w:right w:val="none" w:sz="0" w:space="0" w:color="auto"/>
          </w:divBdr>
        </w:div>
        <w:div w:id="1522932206">
          <w:marLeft w:val="1166"/>
          <w:marRight w:val="0"/>
          <w:marTop w:val="82"/>
          <w:marBottom w:val="0"/>
          <w:divBdr>
            <w:top w:val="none" w:sz="0" w:space="0" w:color="auto"/>
            <w:left w:val="none" w:sz="0" w:space="0" w:color="auto"/>
            <w:bottom w:val="none" w:sz="0" w:space="0" w:color="auto"/>
            <w:right w:val="none" w:sz="0" w:space="0" w:color="auto"/>
          </w:divBdr>
        </w:div>
        <w:div w:id="1969966085">
          <w:marLeft w:val="547"/>
          <w:marRight w:val="0"/>
          <w:marTop w:val="82"/>
          <w:marBottom w:val="0"/>
          <w:divBdr>
            <w:top w:val="none" w:sz="0" w:space="0" w:color="auto"/>
            <w:left w:val="none" w:sz="0" w:space="0" w:color="auto"/>
            <w:bottom w:val="none" w:sz="0" w:space="0" w:color="auto"/>
            <w:right w:val="none" w:sz="0" w:space="0" w:color="auto"/>
          </w:divBdr>
        </w:div>
        <w:div w:id="531959789">
          <w:marLeft w:val="1166"/>
          <w:marRight w:val="0"/>
          <w:marTop w:val="8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SS colours">
      <a:dk1>
        <a:sysClr val="windowText" lastClr="000000"/>
      </a:dk1>
      <a:lt1>
        <a:sysClr val="window" lastClr="FFFFFF"/>
      </a:lt1>
      <a:dk2>
        <a:srgbClr val="2C602F"/>
      </a:dk2>
      <a:lt2>
        <a:srgbClr val="D4F2B6"/>
      </a:lt2>
      <a:accent1>
        <a:srgbClr val="5C9A42"/>
      </a:accent1>
      <a:accent2>
        <a:srgbClr val="BD982F"/>
      </a:accent2>
      <a:accent3>
        <a:srgbClr val="327D92"/>
      </a:accent3>
      <a:accent4>
        <a:srgbClr val="594512"/>
      </a:accent4>
      <a:accent5>
        <a:srgbClr val="1F5B99"/>
      </a:accent5>
      <a:accent6>
        <a:srgbClr val="F9D8D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7B222-E30E-4F56-A920-A5E34D2E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Report template No photo Unity Pattern Purple</vt:lpstr>
    </vt:vector>
  </TitlesOfParts>
  <Company>Ministry of Social Development</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No photo Unity Pattern Purple</dc:title>
  <dc:creator>Ministry of Social Development</dc:creator>
  <cp:lastModifiedBy>Thomas Judd</cp:lastModifiedBy>
  <cp:revision>3</cp:revision>
  <cp:lastPrinted>2024-06-25T02:15:00Z</cp:lastPrinted>
  <dcterms:created xsi:type="dcterms:W3CDTF">2024-10-22T22:02:00Z</dcterms:created>
  <dcterms:modified xsi:type="dcterms:W3CDTF">2024-10-22T22:16:00Z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1,2,3,4,7,8</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2024-04-12T01:56:27Z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c89af073-37ee-47ae-9c14-012bdc44e002</vt:lpwstr>
  </property>
  <property fmtid="{D5CDD505-2E9C-101B-9397-08002B2CF9AE}" pid="11" name="MSIP_Label_f43e46a9-9901-46e9-bfae-bb6189d4cb66_ContentBits">
    <vt:lpwstr>1</vt:lpwstr>
  </property>
</Properties>
</file>