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5957" w14:textId="45D2697B" w:rsidR="00E5186C" w:rsidRPr="00C145DD" w:rsidRDefault="00E5186C" w:rsidP="00E5186C">
      <w:pPr>
        <w:pStyle w:val="Heading1"/>
        <w:spacing w:before="0"/>
        <w:rPr>
          <w:rFonts w:eastAsia="Verdana"/>
        </w:rPr>
      </w:pPr>
      <w:bookmarkStart w:id="0" w:name="_Toc176958213"/>
      <w:bookmarkStart w:id="1" w:name="_Hlk176956812"/>
      <w:r w:rsidRPr="00C145DD">
        <w:softHyphen/>
      </w:r>
      <w:r w:rsidRPr="00C145DD">
        <w:softHyphen/>
      </w:r>
      <w:bookmarkStart w:id="2" w:name="_Toc386619898"/>
      <w:bookmarkStart w:id="3" w:name="_Toc402433422"/>
      <w:bookmarkEnd w:id="0"/>
      <w:bookmarkEnd w:id="1"/>
      <w:r w:rsidR="005F528B" w:rsidRPr="00C145DD">
        <w:t>Fact sheet:</w:t>
      </w:r>
    </w:p>
    <w:bookmarkEnd w:id="2"/>
    <w:bookmarkEnd w:id="3"/>
    <w:p w14:paraId="29B0DD79" w14:textId="517253AA" w:rsidR="00C145DD" w:rsidRPr="00C145DD" w:rsidRDefault="00C145DD" w:rsidP="00C145DD">
      <w:pPr>
        <w:pStyle w:val="Heading2"/>
        <w:spacing w:before="600"/>
        <w:rPr>
          <w:sz w:val="52"/>
          <w:szCs w:val="40"/>
        </w:rPr>
      </w:pPr>
      <w:r w:rsidRPr="00C145DD">
        <w:rPr>
          <w:sz w:val="52"/>
          <w:szCs w:val="40"/>
        </w:rPr>
        <w:t>Review Panel</w:t>
      </w:r>
      <w:r w:rsidRPr="00C145DD">
        <w:rPr>
          <w:sz w:val="52"/>
          <w:szCs w:val="40"/>
        </w:rPr>
        <w:br/>
      </w:r>
      <w:r w:rsidRPr="00C145DD">
        <w:rPr>
          <w:rFonts w:cs="Noto Sans"/>
          <w:b w:val="0"/>
          <w:bCs/>
          <w:color w:val="222222"/>
          <w:sz w:val="28"/>
          <w:shd w:val="clear" w:color="auto" w:fill="FCFCFC"/>
        </w:rPr>
        <w:br/>
      </w:r>
      <w:r w:rsidRPr="00C145DD">
        <w:rPr>
          <w:rFonts w:cs="Noto Sans"/>
          <w:color w:val="222222"/>
          <w:sz w:val="28"/>
          <w:shd w:val="clear" w:color="auto" w:fill="FCFCFC"/>
        </w:rPr>
        <w:t>This factsheet explains information about the Review Panel process, following the Government’s announcement of the </w:t>
      </w:r>
      <w:hyperlink r:id="rId8" w:history="1">
        <w:r w:rsidRPr="00C145DD">
          <w:rPr>
            <w:rStyle w:val="Hyperlink"/>
            <w:rFonts w:cs="Noto Sans"/>
            <w:color w:val="1D70B8"/>
            <w:sz w:val="28"/>
            <w:shd w:val="clear" w:color="auto" w:fill="FCFCFC"/>
          </w:rPr>
          <w:t>Independent Review of the Disability Support System</w:t>
        </w:r>
        <w:r w:rsidRPr="00C145DD">
          <w:rPr>
            <w:rStyle w:val="sr-only"/>
            <w:rFonts w:cs="Noto Sans"/>
            <w:color w:val="1D70B8"/>
            <w:sz w:val="28"/>
            <w:u w:val="single"/>
            <w:bdr w:val="none" w:sz="0" w:space="0" w:color="auto" w:frame="1"/>
            <w:shd w:val="clear" w:color="auto" w:fill="FCFCFC"/>
          </w:rPr>
          <w:t> external URL</w:t>
        </w:r>
        <w:r w:rsidRPr="00C145DD">
          <w:rPr>
            <w:rStyle w:val="Hyperlink"/>
            <w:rFonts w:cs="Noto Sans"/>
            <w:color w:val="1D70B8"/>
            <w:sz w:val="28"/>
            <w:shd w:val="clear" w:color="auto" w:fill="FCFCFC"/>
          </w:rPr>
          <w:t> (DSS)</w:t>
        </w:r>
      </w:hyperlink>
      <w:r w:rsidRPr="00C145DD">
        <w:rPr>
          <w:rFonts w:cs="Noto Sans"/>
          <w:color w:val="222222"/>
          <w:sz w:val="28"/>
          <w:shd w:val="clear" w:color="auto" w:fill="FCFCFC"/>
        </w:rPr>
        <w:t>.</w:t>
      </w:r>
    </w:p>
    <w:p w14:paraId="20149A24" w14:textId="77777777" w:rsidR="00C145DD" w:rsidRPr="00C145DD" w:rsidRDefault="00C145DD" w:rsidP="00C145DD">
      <w:pPr>
        <w:pStyle w:val="Heading2"/>
        <w:shd w:val="clear" w:color="auto" w:fill="FCFCFC"/>
        <w:rPr>
          <w:sz w:val="36"/>
          <w:szCs w:val="24"/>
        </w:rPr>
      </w:pPr>
      <w:r w:rsidRPr="00C145DD">
        <w:rPr>
          <w:sz w:val="36"/>
          <w:szCs w:val="24"/>
        </w:rPr>
        <w:t>Background</w:t>
      </w:r>
    </w:p>
    <w:p w14:paraId="516A1545" w14:textId="77777777" w:rsidR="00C145DD" w:rsidRPr="00C145DD" w:rsidRDefault="00C145DD" w:rsidP="00C145D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C145DD">
        <w:rPr>
          <w:rFonts w:ascii="Roboto" w:hAnsi="Roboto" w:cs="Noto Sans"/>
          <w:color w:val="222222"/>
        </w:rPr>
        <w:t>Cost pressures within DSS have accelerated in recent years as the number of people supported and the costs of supports continue to grow.</w:t>
      </w:r>
    </w:p>
    <w:p w14:paraId="6DBEC8C3" w14:textId="77777777" w:rsidR="00C145DD" w:rsidRPr="00C145DD" w:rsidRDefault="00C145DD" w:rsidP="00C145D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C145DD">
        <w:rPr>
          <w:rFonts w:ascii="Roboto" w:hAnsi="Roboto" w:cs="Noto Sans"/>
          <w:color w:val="222222"/>
        </w:rPr>
        <w:t>Budget 2024 included:</w:t>
      </w:r>
    </w:p>
    <w:p w14:paraId="4B28D2BB" w14:textId="77777777" w:rsidR="00C145DD" w:rsidRPr="00C145DD" w:rsidRDefault="00C145DD" w:rsidP="00C145DD">
      <w:pPr>
        <w:pStyle w:val="ListParagraph"/>
        <w:numPr>
          <w:ilvl w:val="0"/>
          <w:numId w:val="28"/>
        </w:numPr>
      </w:pPr>
      <w:r w:rsidRPr="00C145DD">
        <w:t>$322.3M in additional funding for 2024/25 to respond to cost pressures</w:t>
      </w:r>
    </w:p>
    <w:p w14:paraId="78292D5E" w14:textId="77777777" w:rsidR="00C145DD" w:rsidRPr="00C145DD" w:rsidRDefault="00C145DD" w:rsidP="00C145DD">
      <w:pPr>
        <w:pStyle w:val="ListParagraph"/>
        <w:numPr>
          <w:ilvl w:val="0"/>
          <w:numId w:val="28"/>
        </w:numPr>
      </w:pPr>
      <w:r w:rsidRPr="00C145DD">
        <w:t>total additional funding of $1.1B to support the delivery of DSS over five years.</w:t>
      </w:r>
    </w:p>
    <w:p w14:paraId="5EBE5C64" w14:textId="77777777" w:rsidR="00C145DD" w:rsidRPr="00C145DD" w:rsidRDefault="00C145DD" w:rsidP="00C145D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C145DD">
        <w:rPr>
          <w:rFonts w:ascii="Roboto" w:hAnsi="Roboto" w:cs="Noto Sans"/>
          <w:color w:val="222222"/>
        </w:rPr>
        <w:t>The indicative budgets for Needs Assessment Service Coordination (NASCs) and fixed budgets for Enabling Good Lives (EGL) sites are higher than spending levels in 2023/24 or previously, due to the additional funding provided in Budget 2024.</w:t>
      </w:r>
    </w:p>
    <w:p w14:paraId="47EB623C" w14:textId="77777777" w:rsidR="00C145DD" w:rsidRPr="00C145DD" w:rsidRDefault="00C145DD" w:rsidP="00C145DD">
      <w:pPr>
        <w:pStyle w:val="Heading2"/>
        <w:shd w:val="clear" w:color="auto" w:fill="FCFCFC"/>
        <w:rPr>
          <w:sz w:val="36"/>
          <w:szCs w:val="24"/>
        </w:rPr>
      </w:pPr>
      <w:r w:rsidRPr="00C145DD">
        <w:rPr>
          <w:sz w:val="36"/>
          <w:szCs w:val="24"/>
        </w:rPr>
        <w:t>About the Review Panel</w:t>
      </w:r>
    </w:p>
    <w:p w14:paraId="2C2485F1" w14:textId="77777777" w:rsidR="00C145DD" w:rsidRPr="00C145DD" w:rsidRDefault="00C145DD" w:rsidP="00C145D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C145DD">
        <w:rPr>
          <w:rFonts w:ascii="Roboto" w:hAnsi="Roboto" w:cs="Noto Sans"/>
          <w:color w:val="222222"/>
        </w:rPr>
        <w:t>A Review Panel has been established to provide assurance for specific high-cost support packages before they are confirmed by NASCs and EGL sites.</w:t>
      </w:r>
    </w:p>
    <w:p w14:paraId="103348D8" w14:textId="77777777" w:rsidR="00C145DD" w:rsidRPr="00C145DD" w:rsidRDefault="00C145DD" w:rsidP="00C145D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C145DD">
        <w:rPr>
          <w:rFonts w:ascii="Roboto" w:hAnsi="Roboto" w:cs="Noto Sans"/>
          <w:color w:val="222222"/>
        </w:rPr>
        <w:t>An Assurance Team triages applications from NASCs/EGL sites before they are submitted to the Review Panel.</w:t>
      </w:r>
    </w:p>
    <w:p w14:paraId="1A7E353A" w14:textId="77777777" w:rsidR="00C145DD" w:rsidRPr="00C145DD" w:rsidRDefault="00C145DD" w:rsidP="00C145D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C145DD">
        <w:rPr>
          <w:rFonts w:ascii="Roboto" w:hAnsi="Roboto" w:cs="Noto Sans"/>
          <w:color w:val="222222"/>
        </w:rPr>
        <w:t>The Review Panel includes four employees, with at least one registered health professional, who transferred from Whaikaha to MSD with the Disability Support Services on 16 September 2024.</w:t>
      </w:r>
    </w:p>
    <w:p w14:paraId="76CCB2BB" w14:textId="77777777" w:rsidR="00C145DD" w:rsidRPr="00C145DD" w:rsidRDefault="00C145DD" w:rsidP="00C145DD">
      <w:pPr>
        <w:pStyle w:val="Heading2"/>
        <w:shd w:val="clear" w:color="auto" w:fill="FCFCFC"/>
        <w:rPr>
          <w:sz w:val="36"/>
          <w:szCs w:val="24"/>
        </w:rPr>
      </w:pPr>
      <w:r w:rsidRPr="00C145DD">
        <w:rPr>
          <w:sz w:val="36"/>
          <w:szCs w:val="24"/>
        </w:rPr>
        <w:t xml:space="preserve">What Review Panel will </w:t>
      </w:r>
      <w:proofErr w:type="gramStart"/>
      <w:r w:rsidRPr="00C145DD">
        <w:rPr>
          <w:sz w:val="36"/>
          <w:szCs w:val="24"/>
        </w:rPr>
        <w:t>consider</w:t>
      </w:r>
      <w:proofErr w:type="gramEnd"/>
    </w:p>
    <w:p w14:paraId="25F1A6C6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All new proposed individual rates for residential support, including any increases to existing individual rates.</w:t>
      </w:r>
    </w:p>
    <w:p w14:paraId="4297B0B4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Planned entries to residential care that the NASC or EGL site considers essential, whether they are on contract rates or individual rates.</w:t>
      </w:r>
    </w:p>
    <w:p w14:paraId="5062BAC3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Proposed community packages exceeding $105,000 per annum.</w:t>
      </w:r>
    </w:p>
    <w:p w14:paraId="76A3AEB7" w14:textId="77777777" w:rsidR="00C145DD" w:rsidRPr="00C145DD" w:rsidRDefault="00C145DD" w:rsidP="00C145D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  <w:sz w:val="27"/>
          <w:szCs w:val="27"/>
        </w:rPr>
      </w:pPr>
      <w:r w:rsidRPr="00C145DD">
        <w:rPr>
          <w:rFonts w:ascii="Roboto" w:hAnsi="Roboto" w:cs="Noto Sans"/>
          <w:color w:val="222222"/>
          <w:sz w:val="27"/>
          <w:szCs w:val="27"/>
        </w:rPr>
        <w:t>In carrying out its work, the Review Panel will:</w:t>
      </w:r>
    </w:p>
    <w:p w14:paraId="0072A78F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lastRenderedPageBreak/>
        <w:t xml:space="preserve">have regard to the needs of individuals, fairness, and </w:t>
      </w:r>
      <w:proofErr w:type="gramStart"/>
      <w:r w:rsidRPr="00C145DD">
        <w:t>equity</w:t>
      </w:r>
      <w:proofErr w:type="gramEnd"/>
    </w:p>
    <w:p w14:paraId="4992BCD7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 xml:space="preserve">operate consistently with the principles of good public decision-making, including ensuring all relevant factors have been taken into consideration and decisions are reasonable, transparent, consistent, and appropriately </w:t>
      </w:r>
      <w:proofErr w:type="gramStart"/>
      <w:r w:rsidRPr="00C145DD">
        <w:t>documented</w:t>
      </w:r>
      <w:proofErr w:type="gramEnd"/>
    </w:p>
    <w:p w14:paraId="1D635E2C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consider applications for alternatives to residential support and higher cost community packages, in a way that is equitable and ensures overall affordability.</w:t>
      </w:r>
    </w:p>
    <w:p w14:paraId="082089AA" w14:textId="77777777" w:rsidR="00C145DD" w:rsidRPr="00C145DD" w:rsidRDefault="00C145DD" w:rsidP="00C145D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C145DD">
        <w:rPr>
          <w:rFonts w:ascii="Roboto" w:hAnsi="Roboto" w:cs="Noto Sans"/>
          <w:color w:val="222222"/>
        </w:rPr>
        <w:t>Collectively the Review Panel will have deep understanding and knowledge of:</w:t>
      </w:r>
    </w:p>
    <w:p w14:paraId="634E03C4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delivery of residential support</w:t>
      </w:r>
    </w:p>
    <w:p w14:paraId="42F35B35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pricing of Whaikaha funded supports</w:t>
      </w:r>
    </w:p>
    <w:p w14:paraId="0CFED467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budget and financial management</w:t>
      </w:r>
    </w:p>
    <w:p w14:paraId="27272639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 xml:space="preserve">equity principles, including the provision of support that is culturally appropriate for tāngata </w:t>
      </w:r>
      <w:proofErr w:type="spellStart"/>
      <w:r w:rsidRPr="00C145DD">
        <w:t>whaikaha</w:t>
      </w:r>
      <w:proofErr w:type="spellEnd"/>
      <w:r w:rsidRPr="00C145DD">
        <w:t xml:space="preserve"> Māori and Pacific disabled </w:t>
      </w:r>
      <w:proofErr w:type="gramStart"/>
      <w:r w:rsidRPr="00C145DD">
        <w:t>people</w:t>
      </w:r>
      <w:proofErr w:type="gramEnd"/>
    </w:p>
    <w:p w14:paraId="23F21207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the NASC, EGL site and provider operating environment and processes</w:t>
      </w:r>
    </w:p>
    <w:p w14:paraId="18AA6EA9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clinical care for those with high needs</w:t>
      </w:r>
    </w:p>
    <w:p w14:paraId="5D64143F" w14:textId="77777777" w:rsidR="00C145DD" w:rsidRPr="00C145DD" w:rsidRDefault="00C145DD" w:rsidP="00C145DD">
      <w:pPr>
        <w:pStyle w:val="ListParagraph"/>
        <w:numPr>
          <w:ilvl w:val="0"/>
          <w:numId w:val="29"/>
        </w:numPr>
      </w:pPr>
      <w:r w:rsidRPr="00C145DD">
        <w:t>any other skills and knowledge considered necessary.</w:t>
      </w:r>
    </w:p>
    <w:p w14:paraId="6369A055" w14:textId="77777777" w:rsidR="00C145DD" w:rsidRPr="00C145DD" w:rsidRDefault="00C145DD" w:rsidP="00C145DD">
      <w:pPr>
        <w:pStyle w:val="Heading2"/>
        <w:shd w:val="clear" w:color="auto" w:fill="FCFCFC"/>
        <w:rPr>
          <w:sz w:val="36"/>
          <w:szCs w:val="24"/>
        </w:rPr>
      </w:pPr>
      <w:r w:rsidRPr="00C145DD">
        <w:rPr>
          <w:sz w:val="36"/>
          <w:szCs w:val="24"/>
        </w:rPr>
        <w:t>More information</w:t>
      </w:r>
    </w:p>
    <w:p w14:paraId="6638C8D9" w14:textId="77777777" w:rsidR="00C145DD" w:rsidRPr="00C145DD" w:rsidRDefault="00C145DD" w:rsidP="00C145DD">
      <w:pPr>
        <w:pStyle w:val="NormalWeb"/>
        <w:shd w:val="clear" w:color="auto" w:fill="FCFCFC"/>
        <w:spacing w:before="0" w:beforeAutospacing="0" w:after="0" w:afterAutospacing="0"/>
        <w:rPr>
          <w:rFonts w:ascii="Roboto" w:hAnsi="Roboto" w:cs="Noto Sans"/>
          <w:color w:val="222222"/>
        </w:rPr>
      </w:pPr>
      <w:r w:rsidRPr="00C145DD">
        <w:rPr>
          <w:rFonts w:ascii="Roboto" w:hAnsi="Roboto" w:cs="Noto Sans"/>
          <w:color w:val="222222"/>
        </w:rPr>
        <w:t>Find more </w:t>
      </w:r>
      <w:hyperlink r:id="rId9" w:history="1">
        <w:r w:rsidRPr="00C145DD">
          <w:rPr>
            <w:rStyle w:val="Hyperlink"/>
            <w:rFonts w:ascii="Roboto" w:eastAsiaTheme="majorEastAsia" w:hAnsi="Roboto" w:cs="Noto Sans"/>
            <w:color w:val="1D70B8"/>
          </w:rPr>
          <w:t>information about the Independent Review</w:t>
        </w:r>
      </w:hyperlink>
      <w:r w:rsidRPr="00C145DD">
        <w:rPr>
          <w:rFonts w:ascii="Roboto" w:hAnsi="Roboto" w:cs="Noto Sans"/>
          <w:color w:val="222222"/>
        </w:rPr>
        <w:t> on our website.</w:t>
      </w:r>
    </w:p>
    <w:p w14:paraId="10112ECD" w14:textId="3AF4ACD6" w:rsidR="005F528B" w:rsidRPr="00C145DD" w:rsidRDefault="005F528B" w:rsidP="00420EEE">
      <w:pPr>
        <w:rPr>
          <w:color w:val="FFFFFF" w:themeColor="background1"/>
        </w:rPr>
        <w:sectPr w:rsidR="005F528B" w:rsidRPr="00C145DD" w:rsidSect="00E5186C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1134" w:right="1361" w:bottom="1134" w:left="1361" w:header="709" w:footer="737" w:gutter="0"/>
          <w:pgNumType w:start="1"/>
          <w:cols w:space="708"/>
          <w:docGrid w:linePitch="360"/>
        </w:sectPr>
      </w:pPr>
    </w:p>
    <w:p w14:paraId="13197EF0" w14:textId="18D3C68B" w:rsidR="00642B36" w:rsidRPr="00C145DD" w:rsidRDefault="00642B36" w:rsidP="00E5186C">
      <w:pPr>
        <w:spacing w:after="0" w:line="240" w:lineRule="auto"/>
      </w:pPr>
    </w:p>
    <w:sectPr w:rsidR="00642B36" w:rsidRPr="00C145DD" w:rsidSect="00E5186C">
      <w:pgSz w:w="11906" w:h="16838"/>
      <w:pgMar w:top="1440" w:right="1361" w:bottom="1134" w:left="1361" w:header="708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1E" w14:textId="341E4C64" w:rsidR="00DB01CC" w:rsidRPr="009E20F2" w:rsidRDefault="00541DA4" w:rsidP="00B812CC">
    <w:pPr>
      <w:pStyle w:val="Footer"/>
    </w:pPr>
    <w:r w:rsidRPr="009E20F2">
      <w:t xml:space="preserve">Page </w:t>
    </w:r>
    <w:r w:rsidRPr="009E20F2">
      <w:fldChar w:fldCharType="begin"/>
    </w:r>
    <w:r w:rsidRPr="009E20F2">
      <w:instrText xml:space="preserve"> PAGE   \* MERGEFORMAT </w:instrText>
    </w:r>
    <w:r w:rsidRPr="009E20F2">
      <w:fldChar w:fldCharType="separate"/>
    </w:r>
    <w:r w:rsidR="00B812CC">
      <w:rPr>
        <w:noProof/>
      </w:rPr>
      <w:t>2</w:t>
    </w:r>
    <w:r w:rsidRPr="009E20F2">
      <w:rPr>
        <w:noProof/>
      </w:rPr>
      <w:fldChar w:fldCharType="end"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5803955D" w:rsidR="00643C1B" w:rsidRDefault="00643C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85E5AF" wp14:editId="48384A6A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7" name="Text Box 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C1FC7" w14:textId="2E1BE338" w:rsidR="00643C1B" w:rsidRPr="00643C1B" w:rsidRDefault="00643C1B" w:rsidP="00643C1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43C1B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5E5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IN-CONFIDENC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ABC1FC7" w14:textId="2E1BE338" w:rsidR="00643C1B" w:rsidRPr="00643C1B" w:rsidRDefault="00643C1B" w:rsidP="00643C1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</w:pPr>
                    <w:r w:rsidRPr="00643C1B"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22D7CE12" w:rsidR="00643C1B" w:rsidRDefault="00E5186C">
    <w:pPr>
      <w:pStyle w:val="Header"/>
    </w:pPr>
    <w:r w:rsidRPr="00486F48">
      <w:rPr>
        <w:noProof/>
        <w:color w:val="FFFFFF" w:themeColor="background1"/>
        <w:szCs w:val="96"/>
      </w:rPr>
      <w:drawing>
        <wp:anchor distT="0" distB="0" distL="114300" distR="114300" simplePos="0" relativeHeight="251665408" behindDoc="1" locked="0" layoutInCell="1" allowOverlap="1" wp14:anchorId="4C094275" wp14:editId="4FAD076A">
          <wp:simplePos x="0" y="0"/>
          <wp:positionH relativeFrom="margin">
            <wp:posOffset>-997585</wp:posOffset>
          </wp:positionH>
          <wp:positionV relativeFrom="paragraph">
            <wp:posOffset>-450215</wp:posOffset>
          </wp:positionV>
          <wp:extent cx="7551042" cy="10678130"/>
          <wp:effectExtent l="0" t="0" r="0" b="9525"/>
          <wp:wrapNone/>
          <wp:docPr id="147525579" name="Picture 1475255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43803" name="Picture 15694438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042" cy="106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C1B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12536A" wp14:editId="2FD9FCB3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8" name="Text Box 8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ABF3D" w14:textId="198775FB" w:rsidR="00643C1B" w:rsidRPr="00643C1B" w:rsidRDefault="00643C1B" w:rsidP="00643C1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43C1B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253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IN-CONFIDENCE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FABF3D" w14:textId="198775FB" w:rsidR="00643C1B" w:rsidRPr="00643C1B" w:rsidRDefault="00643C1B" w:rsidP="00643C1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</w:pPr>
                    <w:r w:rsidRPr="00643C1B"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52107F5D" w:rsidR="00643C1B" w:rsidRDefault="00E5186C">
    <w:pPr>
      <w:pStyle w:val="Header"/>
    </w:pPr>
    <w:r w:rsidRPr="00486F48">
      <w:rPr>
        <w:noProof/>
        <w:color w:val="FFFFFF" w:themeColor="background1"/>
        <w:szCs w:val="96"/>
      </w:rPr>
      <w:drawing>
        <wp:anchor distT="0" distB="0" distL="114300" distR="114300" simplePos="0" relativeHeight="251667456" behindDoc="1" locked="0" layoutInCell="1" allowOverlap="1" wp14:anchorId="17F3365D" wp14:editId="45461D00">
          <wp:simplePos x="0" y="0"/>
          <wp:positionH relativeFrom="margin">
            <wp:posOffset>-854710</wp:posOffset>
          </wp:positionH>
          <wp:positionV relativeFrom="paragraph">
            <wp:posOffset>-449580</wp:posOffset>
          </wp:positionV>
          <wp:extent cx="7551042" cy="10678130"/>
          <wp:effectExtent l="0" t="0" r="0" b="9525"/>
          <wp:wrapNone/>
          <wp:docPr id="1589675012" name="Picture 15896750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386476" name="Picture 126538647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042" cy="106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C1B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75D790" wp14:editId="0BA295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24199" w14:textId="1E2B8039" w:rsidR="00643C1B" w:rsidRPr="00643C1B" w:rsidRDefault="00643C1B" w:rsidP="00643C1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43C1B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5D7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IN-CONFIDEN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5D24199" w14:textId="1E2B8039" w:rsidR="00643C1B" w:rsidRPr="00643C1B" w:rsidRDefault="00643C1B" w:rsidP="00643C1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</w:pPr>
                    <w:r w:rsidRPr="00643C1B"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A576DD"/>
    <w:multiLevelType w:val="hybridMultilevel"/>
    <w:tmpl w:val="B33ECED0"/>
    <w:lvl w:ilvl="0" w:tplc="1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91F0CBB"/>
    <w:multiLevelType w:val="multilevel"/>
    <w:tmpl w:val="1D36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1D6438"/>
    <w:multiLevelType w:val="multilevel"/>
    <w:tmpl w:val="1A6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E7304E"/>
    <w:multiLevelType w:val="multilevel"/>
    <w:tmpl w:val="D618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957AF"/>
    <w:multiLevelType w:val="multilevel"/>
    <w:tmpl w:val="58A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501252"/>
    <w:multiLevelType w:val="multilevel"/>
    <w:tmpl w:val="FDC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07F4B"/>
    <w:multiLevelType w:val="multilevel"/>
    <w:tmpl w:val="7024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D7D7C"/>
    <w:multiLevelType w:val="hybridMultilevel"/>
    <w:tmpl w:val="A82C09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A5885"/>
    <w:multiLevelType w:val="hybridMultilevel"/>
    <w:tmpl w:val="7938F8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23462"/>
    <w:multiLevelType w:val="hybridMultilevel"/>
    <w:tmpl w:val="AF96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5658A"/>
    <w:multiLevelType w:val="multilevel"/>
    <w:tmpl w:val="70AA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848DC"/>
    <w:multiLevelType w:val="hybridMultilevel"/>
    <w:tmpl w:val="C798A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F4611"/>
    <w:multiLevelType w:val="multilevel"/>
    <w:tmpl w:val="66A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4AD7"/>
    <w:multiLevelType w:val="hybridMultilevel"/>
    <w:tmpl w:val="D7BCD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2"/>
  </w:num>
  <w:num w:numId="2" w16cid:durableId="1091314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6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6"/>
  </w:num>
  <w:num w:numId="8" w16cid:durableId="147221568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5"/>
  </w:num>
  <w:num w:numId="11" w16cid:durableId="645007926">
    <w:abstractNumId w:val="20"/>
  </w:num>
  <w:num w:numId="12" w16cid:durableId="1287853512">
    <w:abstractNumId w:val="4"/>
  </w:num>
  <w:num w:numId="13" w16cid:durableId="1105729138">
    <w:abstractNumId w:val="26"/>
  </w:num>
  <w:num w:numId="14" w16cid:durableId="778572090">
    <w:abstractNumId w:val="24"/>
  </w:num>
  <w:num w:numId="15" w16cid:durableId="1178303107">
    <w:abstractNumId w:val="9"/>
  </w:num>
  <w:num w:numId="16" w16cid:durableId="162012599">
    <w:abstractNumId w:val="8"/>
  </w:num>
  <w:num w:numId="17" w16cid:durableId="1284581250">
    <w:abstractNumId w:val="22"/>
  </w:num>
  <w:num w:numId="18" w16cid:durableId="96294235">
    <w:abstractNumId w:val="17"/>
  </w:num>
  <w:num w:numId="19" w16cid:durableId="1816414141">
    <w:abstractNumId w:val="19"/>
  </w:num>
  <w:num w:numId="20" w16cid:durableId="1733577160">
    <w:abstractNumId w:val="21"/>
  </w:num>
  <w:num w:numId="21" w16cid:durableId="2113157984">
    <w:abstractNumId w:val="11"/>
  </w:num>
  <w:num w:numId="22" w16cid:durableId="97915129">
    <w:abstractNumId w:val="3"/>
  </w:num>
  <w:num w:numId="23" w16cid:durableId="1877960194">
    <w:abstractNumId w:val="10"/>
  </w:num>
  <w:num w:numId="24" w16cid:durableId="981151339">
    <w:abstractNumId w:val="7"/>
  </w:num>
  <w:num w:numId="25" w16cid:durableId="1005743957">
    <w:abstractNumId w:val="23"/>
  </w:num>
  <w:num w:numId="26" w16cid:durableId="1302921838">
    <w:abstractNumId w:val="13"/>
  </w:num>
  <w:num w:numId="27" w16cid:durableId="856770810">
    <w:abstractNumId w:val="14"/>
  </w:num>
  <w:num w:numId="28" w16cid:durableId="1551113360">
    <w:abstractNumId w:val="25"/>
  </w:num>
  <w:num w:numId="29" w16cid:durableId="1970359219">
    <w:abstractNumId w:val="18"/>
  </w:num>
  <w:num w:numId="30" w16cid:durableId="84089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37CB0"/>
    <w:rsid w:val="0004240D"/>
    <w:rsid w:val="00045B4C"/>
    <w:rsid w:val="00046B29"/>
    <w:rsid w:val="00072106"/>
    <w:rsid w:val="000E3BB9"/>
    <w:rsid w:val="00106AED"/>
    <w:rsid w:val="001136D5"/>
    <w:rsid w:val="00121DA1"/>
    <w:rsid w:val="001308D6"/>
    <w:rsid w:val="00151526"/>
    <w:rsid w:val="00187357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26612"/>
    <w:rsid w:val="002304B5"/>
    <w:rsid w:val="00245A2B"/>
    <w:rsid w:val="00296B0F"/>
    <w:rsid w:val="002A4839"/>
    <w:rsid w:val="002B0645"/>
    <w:rsid w:val="002C5548"/>
    <w:rsid w:val="002D1C62"/>
    <w:rsid w:val="002E6786"/>
    <w:rsid w:val="00312697"/>
    <w:rsid w:val="00314DB1"/>
    <w:rsid w:val="00317D0D"/>
    <w:rsid w:val="003472DE"/>
    <w:rsid w:val="00354EC2"/>
    <w:rsid w:val="003808D9"/>
    <w:rsid w:val="00392AFE"/>
    <w:rsid w:val="003B4E71"/>
    <w:rsid w:val="003C3B31"/>
    <w:rsid w:val="003E3302"/>
    <w:rsid w:val="00414E8A"/>
    <w:rsid w:val="00420EEE"/>
    <w:rsid w:val="004227ED"/>
    <w:rsid w:val="00445BCE"/>
    <w:rsid w:val="00454F25"/>
    <w:rsid w:val="00474273"/>
    <w:rsid w:val="00486F48"/>
    <w:rsid w:val="004C0AC6"/>
    <w:rsid w:val="00533E65"/>
    <w:rsid w:val="00541DA4"/>
    <w:rsid w:val="0056681E"/>
    <w:rsid w:val="00570817"/>
    <w:rsid w:val="00572AA9"/>
    <w:rsid w:val="00573C0A"/>
    <w:rsid w:val="00584F02"/>
    <w:rsid w:val="00595906"/>
    <w:rsid w:val="005B11F9"/>
    <w:rsid w:val="005B1C12"/>
    <w:rsid w:val="005B3EB7"/>
    <w:rsid w:val="005C7E68"/>
    <w:rsid w:val="005E71D1"/>
    <w:rsid w:val="005F528B"/>
    <w:rsid w:val="006207F6"/>
    <w:rsid w:val="00631D73"/>
    <w:rsid w:val="0063448D"/>
    <w:rsid w:val="0063502A"/>
    <w:rsid w:val="00642B36"/>
    <w:rsid w:val="00643C1B"/>
    <w:rsid w:val="0066419D"/>
    <w:rsid w:val="006675CB"/>
    <w:rsid w:val="006A39FA"/>
    <w:rsid w:val="006C5072"/>
    <w:rsid w:val="006F3AB6"/>
    <w:rsid w:val="0070040B"/>
    <w:rsid w:val="00706C68"/>
    <w:rsid w:val="00710AC5"/>
    <w:rsid w:val="00733387"/>
    <w:rsid w:val="0075020F"/>
    <w:rsid w:val="007525AF"/>
    <w:rsid w:val="007814CC"/>
    <w:rsid w:val="007B201A"/>
    <w:rsid w:val="0080498F"/>
    <w:rsid w:val="00820BA6"/>
    <w:rsid w:val="00821A10"/>
    <w:rsid w:val="00827615"/>
    <w:rsid w:val="0085194C"/>
    <w:rsid w:val="00860654"/>
    <w:rsid w:val="0089060C"/>
    <w:rsid w:val="008C1671"/>
    <w:rsid w:val="008C4B1D"/>
    <w:rsid w:val="008E22FB"/>
    <w:rsid w:val="008F5E31"/>
    <w:rsid w:val="008F70CB"/>
    <w:rsid w:val="00903467"/>
    <w:rsid w:val="00906EAA"/>
    <w:rsid w:val="009551AD"/>
    <w:rsid w:val="00964FD8"/>
    <w:rsid w:val="00970DD2"/>
    <w:rsid w:val="00980756"/>
    <w:rsid w:val="00981737"/>
    <w:rsid w:val="00984549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339FA"/>
    <w:rsid w:val="00A35350"/>
    <w:rsid w:val="00A37207"/>
    <w:rsid w:val="00A43896"/>
    <w:rsid w:val="00A53872"/>
    <w:rsid w:val="00A56424"/>
    <w:rsid w:val="00A6244E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50C3C"/>
    <w:rsid w:val="00B5357A"/>
    <w:rsid w:val="00B55614"/>
    <w:rsid w:val="00B70DC7"/>
    <w:rsid w:val="00B812CC"/>
    <w:rsid w:val="00BA1BB2"/>
    <w:rsid w:val="00BF6828"/>
    <w:rsid w:val="00BF7F79"/>
    <w:rsid w:val="00C13B53"/>
    <w:rsid w:val="00C145DD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B496C"/>
    <w:rsid w:val="00CB4A28"/>
    <w:rsid w:val="00CE0551"/>
    <w:rsid w:val="00CF09EA"/>
    <w:rsid w:val="00D21FBC"/>
    <w:rsid w:val="00D261EC"/>
    <w:rsid w:val="00D31036"/>
    <w:rsid w:val="00D320DE"/>
    <w:rsid w:val="00D34EA0"/>
    <w:rsid w:val="00D46FB9"/>
    <w:rsid w:val="00D716CE"/>
    <w:rsid w:val="00D83283"/>
    <w:rsid w:val="00D8664E"/>
    <w:rsid w:val="00D96746"/>
    <w:rsid w:val="00D96D3A"/>
    <w:rsid w:val="00D96EC5"/>
    <w:rsid w:val="00DA1256"/>
    <w:rsid w:val="00DB01CC"/>
    <w:rsid w:val="00DC30ED"/>
    <w:rsid w:val="00DC7E96"/>
    <w:rsid w:val="00DD7526"/>
    <w:rsid w:val="00E06F0D"/>
    <w:rsid w:val="00E5186C"/>
    <w:rsid w:val="00E60F64"/>
    <w:rsid w:val="00E671C3"/>
    <w:rsid w:val="00E86180"/>
    <w:rsid w:val="00E90142"/>
    <w:rsid w:val="00E9269E"/>
    <w:rsid w:val="00EA75D0"/>
    <w:rsid w:val="00EB27CB"/>
    <w:rsid w:val="00EB2D7C"/>
    <w:rsid w:val="00EC2CE7"/>
    <w:rsid w:val="00ED3ACF"/>
    <w:rsid w:val="00ED41B9"/>
    <w:rsid w:val="00F06EE8"/>
    <w:rsid w:val="00F07349"/>
    <w:rsid w:val="00F167CA"/>
    <w:rsid w:val="00F22AE5"/>
    <w:rsid w:val="00F926FD"/>
    <w:rsid w:val="00F92F6A"/>
    <w:rsid w:val="00F940E5"/>
    <w:rsid w:val="00FA02F2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07"/>
    <w:pPr>
      <w:spacing w:after="120" w:line="288" w:lineRule="auto"/>
    </w:pPr>
    <w:rPr>
      <w:rFonts w:ascii="Roboto" w:hAnsi="Roboto" w:cs="Arial"/>
      <w:kern w:val="28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186C"/>
    <w:pPr>
      <w:keepNext/>
      <w:keepLines/>
      <w:spacing w:before="400" w:after="240"/>
      <w:outlineLvl w:val="0"/>
    </w:pPr>
    <w:rPr>
      <w:rFonts w:eastAsiaTheme="majorEastAsia"/>
      <w:b/>
      <w:bCs/>
      <w:color w:val="404040" w:themeColor="text1" w:themeTint="BF"/>
      <w:kern w:val="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7207"/>
    <w:pPr>
      <w:spacing w:before="240" w:after="240" w:line="240" w:lineRule="auto"/>
      <w:outlineLvl w:val="1"/>
    </w:pPr>
    <w:rPr>
      <w:b/>
      <w:color w:val="2C602F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36D5"/>
    <w:pPr>
      <w:keepNext/>
      <w:keepLines/>
      <w:spacing w:before="240"/>
      <w:outlineLvl w:val="2"/>
    </w:pPr>
    <w:rPr>
      <w:rFonts w:eastAsiaTheme="majorEastAsia"/>
      <w:b/>
      <w:bCs/>
      <w:color w:val="2C602F" w:themeColor="text2"/>
      <w:kern w:val="0"/>
      <w:sz w:val="36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36D5"/>
    <w:pPr>
      <w:keepNext/>
      <w:keepLines/>
      <w:spacing w:before="240"/>
      <w:outlineLvl w:val="3"/>
    </w:pPr>
    <w:rPr>
      <w:rFonts w:eastAsiaTheme="majorEastAsia" w:cs="Times New Roman"/>
      <w:b/>
      <w:bCs/>
      <w:iCs/>
      <w:color w:val="2C602F" w:themeColor="text2"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136D5"/>
    <w:pPr>
      <w:keepNext/>
      <w:keepLines/>
      <w:spacing w:before="200"/>
      <w:outlineLvl w:val="4"/>
    </w:pPr>
    <w:rPr>
      <w:rFonts w:eastAsiaTheme="majorEastAsia" w:cstheme="majorBidi"/>
      <w:b/>
      <w:color w:val="2C602F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1136D5"/>
    <w:pPr>
      <w:keepNext/>
      <w:keepLines/>
      <w:spacing w:before="40" w:after="0"/>
      <w:outlineLvl w:val="5"/>
    </w:pPr>
    <w:rPr>
      <w:rFonts w:eastAsiaTheme="majorEastAsia" w:cstheme="majorBidi"/>
      <w:b/>
      <w:color w:val="2C602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186C"/>
    <w:rPr>
      <w:rFonts w:ascii="Roboto" w:eastAsiaTheme="majorEastAsia" w:hAnsi="Roboto" w:cs="Arial"/>
      <w:b/>
      <w:bCs/>
      <w:color w:val="404040" w:themeColor="text1" w:themeTint="BF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37207"/>
    <w:rPr>
      <w:rFonts w:ascii="Roboto" w:hAnsi="Roboto" w:cs="Arial"/>
      <w:b/>
      <w:color w:val="2C602F"/>
      <w:kern w:val="28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136D5"/>
    <w:rPr>
      <w:rFonts w:ascii="Roboto" w:eastAsiaTheme="majorEastAsia" w:hAnsi="Roboto" w:cs="Arial"/>
      <w:b/>
      <w:bCs/>
      <w:color w:val="2C602F" w:themeColor="text2"/>
      <w:sz w:val="3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1136D5"/>
    <w:rPr>
      <w:rFonts w:ascii="Roboto" w:eastAsiaTheme="majorEastAsia" w:hAnsi="Roboto"/>
      <w:b/>
      <w:bCs/>
      <w:iCs/>
      <w:color w:val="2C602F" w:themeColor="text2"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820BA6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60" w:after="0"/>
      <w:ind w:left="284" w:hanging="284"/>
      <w:jc w:val="both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1136D5"/>
    <w:rPr>
      <w:rFonts w:ascii="Roboto" w:eastAsiaTheme="majorEastAsia" w:hAnsi="Roboto" w:cstheme="majorBidi"/>
      <w:b/>
      <w:color w:val="2C602F" w:themeColor="text2"/>
      <w:kern w:val="28"/>
      <w:sz w:val="28"/>
    </w:rPr>
  </w:style>
  <w:style w:type="character" w:styleId="Strong">
    <w:name w:val="Strong"/>
    <w:basedOn w:val="DefaultParagraphFont"/>
    <w:uiPriority w:val="22"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36D5"/>
    <w:rPr>
      <w:rFonts w:ascii="Roboto" w:eastAsiaTheme="majorEastAsia" w:hAnsi="Roboto" w:cstheme="majorBidi"/>
      <w:b/>
      <w:color w:val="2C602F" w:themeColor="text2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styleId="NormalWeb">
    <w:name w:val="Normal (Web)"/>
    <w:basedOn w:val="Normal"/>
    <w:uiPriority w:val="99"/>
    <w:semiHidden/>
    <w:unhideWhenUsed/>
    <w:rsid w:val="0042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character" w:customStyle="1" w:styleId="sr-only">
    <w:name w:val="sr-only"/>
    <w:basedOn w:val="DefaultParagraphFont"/>
    <w:rsid w:val="0042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support.govt.nz/taskforce/independent-review?stage=Sta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sabilitysupport.govt.nz/taskforce/independent-review?stage=Stag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Thomas Judd</cp:lastModifiedBy>
  <cp:revision>3</cp:revision>
  <cp:lastPrinted>2024-06-25T02:15:00Z</cp:lastPrinted>
  <dcterms:created xsi:type="dcterms:W3CDTF">2024-10-22T20:37:00Z</dcterms:created>
  <dcterms:modified xsi:type="dcterms:W3CDTF">2024-10-22T20:40:00Z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